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440515-2023-01647</w:t>
      </w:r>
    </w:p>
    <w:p>
      <w:pPr>
        <w:jc w:val="center"/>
      </w:pPr>
      <w:r>
        <w:rPr>
          <w:b/>
          <w:sz w:val="24"/>
        </w:rPr>
        <w:t>采购项目编号：</w:t>
      </w:r>
      <w:r>
        <w:rPr>
          <w:b/>
          <w:sz w:val="24"/>
        </w:rPr>
        <w:t>HSCGZB202316</w:t>
      </w:r>
    </w:p>
    <w:p>
      <w:pPr>
        <w:jc w:val="center"/>
      </w:pPr>
      <w:r>
        <w:rPr>
          <w:b/>
          <w:sz w:val="24"/>
        </w:rPr>
        <w:t>项目名称：</w:t>
      </w:r>
      <w:r>
        <w:rPr>
          <w:b/>
          <w:sz w:val="24"/>
        </w:rPr>
        <w:t>汕头市澄海区地方公路管养中心公路日常养护服务市场化项目</w:t>
      </w:r>
    </w:p>
    <w:p>
      <w:pPr>
        <w:jc w:val="center"/>
      </w:pPr>
      <w:r>
        <w:rPr>
          <w:b/>
          <w:sz w:val="24"/>
        </w:rPr>
        <w:t>采购人：</w:t>
      </w:r>
      <w:r>
        <w:rPr>
          <w:b/>
          <w:sz w:val="24"/>
        </w:rPr>
        <w:t>汕头市澄海区地方公路管养中心</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汕头市澄海区地方公路管养中心</w:t>
      </w:r>
      <w:r>
        <w:rPr/>
        <w:t>的委托，采用</w:t>
      </w:r>
      <w:r>
        <w:rPr/>
        <w:t>竞争性磋商</w:t>
      </w:r>
      <w:r>
        <w:rPr/>
        <w:t>方式组织采购</w:t>
      </w:r>
      <w:r>
        <w:rPr/>
        <w:t>汕头市澄海区地方公路管养中心公路日常养护服务市场化项目</w:t>
      </w:r>
      <w:r>
        <w:rPr/>
        <w:t>。欢迎符合资格条件的供应商参加。</w:t>
      </w:r>
    </w:p>
    <w:p>
      <w:r>
        <w:rPr>
          <w:b/>
          <w:sz w:val="28"/>
        </w:rPr>
        <w:t>一.项目概述</w:t>
      </w:r>
    </w:p>
    <w:p>
      <w:r>
        <w:rPr>
          <w:b/>
          <w:sz w:val="24"/>
        </w:rPr>
        <w:t>1.名称与编号</w:t>
      </w:r>
    </w:p>
    <w:p>
      <w:pPr>
        <w:ind w:firstLine="480"/>
      </w:pPr>
      <w:r>
        <w:rPr/>
        <w:t>采购项目名称：</w:t>
      </w:r>
      <w:r>
        <w:rPr/>
        <w:t>汕头市澄海区地方公路管养中心公路日常养护服务市场化项目</w:t>
      </w:r>
    </w:p>
    <w:p>
      <w:pPr>
        <w:ind w:firstLine="480"/>
      </w:pPr>
      <w:r>
        <w:rPr/>
        <w:t>采购计划编号：</w:t>
      </w:r>
      <w:r>
        <w:rPr/>
        <w:t>440515-2023-01647</w:t>
      </w:r>
    </w:p>
    <w:p>
      <w:pPr>
        <w:ind w:firstLine="480"/>
      </w:pPr>
      <w:r>
        <w:rPr/>
        <w:t>采购项目编号：</w:t>
      </w:r>
      <w:r>
        <w:rPr/>
        <w:t>HSCGZB202316</w:t>
      </w:r>
    </w:p>
    <w:p>
      <w:pPr>
        <w:ind w:firstLine="480"/>
      </w:pPr>
      <w:r>
        <w:rPr/>
        <w:t>采购方式：</w:t>
      </w:r>
      <w:r>
        <w:rPr/>
        <w:t>竞争性磋商</w:t>
      </w:r>
    </w:p>
    <w:p>
      <w:pPr>
        <w:ind w:firstLine="480"/>
      </w:pPr>
      <w:r>
        <w:rPr/>
        <w:t>预算金额：</w:t>
      </w:r>
      <w:r>
        <w:rPr/>
        <w:t>2,253,220.00</w:t>
      </w:r>
      <w:r>
        <w:rPr/>
        <w:t>元</w:t>
      </w:r>
    </w:p>
    <w:p>
      <w:r>
        <w:rPr>
          <w:b/>
          <w:sz w:val="24"/>
        </w:rPr>
        <w:t>2.项目内容及需求情况（采购项目技术规格、参数及要求）</w:t>
      </w:r>
    </w:p>
    <w:p>
      <w:pPr>
        <w:ind w:firstLine="480"/>
      </w:pPr>
    </w:p>
    <w:p/>
    <w:p>
      <w:r>
        <w:rPr/>
        <w:t>采购包1(汕头市澄海区地方公路管养中心公路日常养护服务市场化项目):</w:t>
      </w:r>
    </w:p>
    <w:p>
      <w:r>
        <w:rPr/>
        <w:t>采购包预算金额：2,253,220.00元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公路管理和养护服务</w:t>
            </w:r>
          </w:p>
        </w:tc>
        <w:tc>
          <w:tcPr>
            <w:tcW w:type="dxa" w:w="2136"/>
          </w:tcPr>
          <w:p>
            <w:r>
              <w:rPr/>
              <w:t>汕头市澄海区地方公路管养中心公路日常养护服务市场化项目</w:t>
            </w:r>
          </w:p>
        </w:tc>
        <w:tc>
          <w:tcPr>
            <w:tcW w:type="dxa" w:w="1187"/>
          </w:tcPr>
          <w:p>
            <w:r>
              <w:rPr/>
              <w:t>1.00(年)</w:t>
            </w:r>
          </w:p>
        </w:tc>
        <w:tc>
          <w:tcPr>
            <w:tcW w:type="dxa" w:w="1187"/>
          </w:tcPr>
          <w:p>
            <w:r>
              <w:rPr/>
              <w:t>详见第二章</w:t>
            </w:r>
          </w:p>
        </w:tc>
        <w:tc>
          <w:tcPr>
            <w:tcW w:type="dxa" w:w="1187"/>
          </w:tcPr>
          <w:p>
            <w:r>
              <w:rPr/>
              <w:t>否</w:t>
            </w:r>
          </w:p>
        </w:tc>
      </w:tr>
    </w:tbl>
    <w:p/>
    <w:p>
      <w:r>
        <w:rPr/>
        <w:t>本采购包不接受联合体响应</w:t>
      </w:r>
    </w:p>
    <w:p/>
    <w:p>
      <w:r>
        <w:rPr/>
        <w:t>合同履行期限：一签多年（最长3年），一年一签</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采购包1（汕头市澄海区地方公路管养中心公路日常养护服务市场化项目）：</w:t>
      </w:r>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p/>
    <w:p>
      <w:r>
        <w:rPr>
          <w:b/>
          <w:sz w:val="24"/>
        </w:rPr>
        <w:t>3.本项目特定的资格要求：</w:t>
      </w:r>
    </w:p>
    <w:p>
      <w:pPr>
        <w:ind w:firstLine="480"/>
      </w:pPr>
    </w:p>
    <w:p/>
    <w:p>
      <w:r>
        <w:rPr/>
        <w:t>采购包1（汕头市澄海区地方公路管养中心公路日常养护服务市场化项目）：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3)本采购包不接受联合体响应。</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汕头市澄海区地方公路管养中心</w:t>
      </w:r>
    </w:p>
    <w:p>
      <w:pPr>
        <w:ind w:firstLine="480"/>
      </w:pPr>
      <w:r>
        <w:rPr/>
        <w:t>地址：</w:t>
      </w:r>
      <w:r>
        <w:rPr/>
        <w:t>汕头市澄海区澄华街道澄华路学思街9号</w:t>
      </w:r>
    </w:p>
    <w:p>
      <w:pPr>
        <w:ind w:firstLine="480"/>
      </w:pPr>
      <w:r>
        <w:rPr/>
        <w:t>联系方式：</w:t>
      </w:r>
      <w:r>
        <w:rPr/>
        <w:t>0754-85867401</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sz w:val="24"/>
        </w:rPr>
        <w:t>1.1</w:t>
      </w:r>
      <w:r>
        <w:rPr>
          <w:sz w:val="24"/>
        </w:rPr>
        <w:t>项目概况：</w:t>
      </w:r>
    </w:p>
    <w:p>
      <w:pPr>
        <w:ind w:firstLine="480"/>
        <w:jc w:val="both"/>
      </w:pPr>
      <w:r>
        <w:rPr>
          <w:sz w:val="24"/>
        </w:rPr>
        <w:t>（</w:t>
      </w:r>
      <w:r>
        <w:rPr>
          <w:sz w:val="24"/>
        </w:rPr>
        <w:t>1</w:t>
      </w:r>
      <w:r>
        <w:rPr>
          <w:sz w:val="24"/>
        </w:rPr>
        <w:t>）项目名称：</w:t>
      </w:r>
      <w:r>
        <w:rPr>
          <w:sz w:val="24"/>
        </w:rPr>
        <w:t>汕头市澄海区地方公路管养中心公路日常养护服务市场化项目</w:t>
      </w:r>
    </w:p>
    <w:p>
      <w:pPr>
        <w:ind w:firstLine="480"/>
        <w:jc w:val="both"/>
      </w:pPr>
      <w:r>
        <w:rPr>
          <w:sz w:val="24"/>
        </w:rPr>
        <w:t>（</w:t>
      </w:r>
      <w:r>
        <w:rPr>
          <w:sz w:val="24"/>
        </w:rPr>
        <w:t>2</w:t>
      </w:r>
      <w:r>
        <w:rPr>
          <w:sz w:val="24"/>
        </w:rPr>
        <w:t>）采购预算：人民币</w:t>
      </w:r>
      <w:r>
        <w:rPr>
          <w:sz w:val="24"/>
        </w:rPr>
        <w:t>2253220.00</w:t>
      </w:r>
      <w:r>
        <w:rPr>
          <w:sz w:val="24"/>
        </w:rPr>
        <w:t>元</w:t>
      </w:r>
      <w:r>
        <w:rPr>
          <w:sz w:val="24"/>
        </w:rPr>
        <w:t>/</w:t>
      </w:r>
      <w:r>
        <w:rPr>
          <w:sz w:val="24"/>
        </w:rPr>
        <w:t>年。</w:t>
      </w:r>
    </w:p>
    <w:p>
      <w:pPr>
        <w:ind w:firstLine="480"/>
        <w:jc w:val="both"/>
      </w:pPr>
      <w:r>
        <w:rPr>
          <w:sz w:val="24"/>
        </w:rPr>
        <w:t>（</w:t>
      </w:r>
      <w:r>
        <w:rPr>
          <w:sz w:val="24"/>
        </w:rPr>
        <w:t>3</w:t>
      </w:r>
      <w:r>
        <w:rPr>
          <w:sz w:val="24"/>
        </w:rPr>
        <w:t>）资金来源：财政资金。</w:t>
      </w:r>
    </w:p>
    <w:p>
      <w:pPr>
        <w:ind w:firstLine="480"/>
        <w:jc w:val="both"/>
      </w:pPr>
      <w:r>
        <w:rPr>
          <w:sz w:val="24"/>
        </w:rPr>
        <w:t>1.2</w:t>
      </w:r>
      <w:r>
        <w:rPr>
          <w:sz w:val="24"/>
        </w:rPr>
        <w:t>采购需求：</w:t>
      </w:r>
    </w:p>
    <w:p>
      <w:pPr>
        <w:ind w:firstLine="480"/>
        <w:jc w:val="both"/>
      </w:pPr>
      <w:r>
        <w:rPr>
          <w:sz w:val="24"/>
        </w:rPr>
        <w:t>（</w:t>
      </w:r>
      <w:r>
        <w:rPr>
          <w:sz w:val="24"/>
        </w:rPr>
        <w:t>1</w:t>
      </w:r>
      <w:r>
        <w:rPr>
          <w:sz w:val="24"/>
        </w:rPr>
        <w:t>）项目服务内容：</w:t>
      </w:r>
      <w:r>
        <w:rPr>
          <w:sz w:val="24"/>
        </w:rPr>
        <w:t>对合同约定范围内公路日常巡查、日常路面病害防治及路面坑槽修补（不含材料）、排水设施维护、恶劣天气应急处置、抢险、抢修、保通、相关公路附属设施应经常检查，存在受损等情况的，应及时组织修复、清通，情况严重的应做出修复方案并经采购人批准予以处理</w:t>
      </w:r>
      <w:r>
        <w:rPr>
          <w:sz w:val="24"/>
        </w:rPr>
        <w:t>。</w:t>
      </w:r>
    </w:p>
    <w:p>
      <w:pPr>
        <w:ind w:firstLine="480"/>
        <w:jc w:val="both"/>
      </w:pPr>
      <w:r>
        <w:rPr>
          <w:sz w:val="24"/>
        </w:rPr>
        <w:t>（</w:t>
      </w:r>
      <w:r>
        <w:rPr>
          <w:sz w:val="24"/>
        </w:rPr>
        <w:t>2</w:t>
      </w:r>
      <w:r>
        <w:rPr>
          <w:sz w:val="24"/>
        </w:rPr>
        <w:t>）项目地址：</w:t>
      </w:r>
      <w:r>
        <w:rPr>
          <w:sz w:val="24"/>
        </w:rPr>
        <w:t>金鸿公路（金洲大桥</w:t>
      </w:r>
      <w:r>
        <w:rPr>
          <w:sz w:val="24"/>
        </w:rPr>
        <w:t>-G324</w:t>
      </w:r>
      <w:r>
        <w:rPr>
          <w:sz w:val="24"/>
        </w:rPr>
        <w:t>平交口）、</w:t>
      </w:r>
      <w:r>
        <w:rPr>
          <w:sz w:val="24"/>
        </w:rPr>
        <w:t>S503</w:t>
      </w:r>
      <w:r>
        <w:rPr>
          <w:sz w:val="24"/>
        </w:rPr>
        <w:t>钱东</w:t>
      </w:r>
      <w:r>
        <w:rPr>
          <w:sz w:val="24"/>
        </w:rPr>
        <w:t>-</w:t>
      </w:r>
      <w:r>
        <w:rPr>
          <w:sz w:val="24"/>
        </w:rPr>
        <w:t>龙湖（莲花山潮州市交界处至</w:t>
      </w:r>
      <w:r>
        <w:rPr>
          <w:sz w:val="24"/>
        </w:rPr>
        <w:t>G324</w:t>
      </w:r>
      <w:r>
        <w:rPr>
          <w:sz w:val="24"/>
        </w:rPr>
        <w:t>平交口）、</w:t>
      </w:r>
      <w:r>
        <w:rPr>
          <w:sz w:val="24"/>
        </w:rPr>
        <w:t>S504</w:t>
      </w:r>
      <w:r>
        <w:rPr>
          <w:sz w:val="24"/>
        </w:rPr>
        <w:t>枫溪</w:t>
      </w:r>
      <w:r>
        <w:rPr>
          <w:sz w:val="24"/>
        </w:rPr>
        <w:t>-</w:t>
      </w:r>
      <w:r>
        <w:rPr>
          <w:sz w:val="24"/>
        </w:rPr>
        <w:t>海山、</w:t>
      </w:r>
      <w:r>
        <w:rPr>
          <w:sz w:val="24"/>
        </w:rPr>
        <w:t>S505</w:t>
      </w:r>
      <w:r>
        <w:rPr>
          <w:sz w:val="24"/>
        </w:rPr>
        <w:t>榕城</w:t>
      </w:r>
      <w:r>
        <w:rPr>
          <w:sz w:val="24"/>
        </w:rPr>
        <w:t>-</w:t>
      </w:r>
      <w:r>
        <w:rPr>
          <w:sz w:val="24"/>
        </w:rPr>
        <w:t>澄海、</w:t>
      </w:r>
      <w:r>
        <w:rPr>
          <w:sz w:val="24"/>
        </w:rPr>
        <w:t>X051</w:t>
      </w:r>
      <w:r>
        <w:rPr>
          <w:sz w:val="24"/>
        </w:rPr>
        <w:t>澄上线、</w:t>
      </w:r>
      <w:r>
        <w:rPr>
          <w:sz w:val="24"/>
        </w:rPr>
        <w:t>X055</w:t>
      </w:r>
      <w:r>
        <w:rPr>
          <w:sz w:val="24"/>
        </w:rPr>
        <w:t>官塘</w:t>
      </w:r>
      <w:r>
        <w:rPr>
          <w:sz w:val="24"/>
        </w:rPr>
        <w:t>-</w:t>
      </w:r>
      <w:r>
        <w:rPr>
          <w:sz w:val="24"/>
        </w:rPr>
        <w:t>南畔洲、</w:t>
      </w:r>
      <w:r>
        <w:rPr>
          <w:sz w:val="24"/>
        </w:rPr>
        <w:t>X067</w:t>
      </w:r>
      <w:r>
        <w:rPr>
          <w:sz w:val="24"/>
        </w:rPr>
        <w:t>金樟线、</w:t>
      </w:r>
      <w:r>
        <w:rPr>
          <w:sz w:val="24"/>
        </w:rPr>
        <w:t>X068</w:t>
      </w:r>
      <w:r>
        <w:rPr>
          <w:sz w:val="24"/>
        </w:rPr>
        <w:t>樟莲线、</w:t>
      </w:r>
      <w:r>
        <w:rPr>
          <w:sz w:val="24"/>
        </w:rPr>
        <w:t>X069</w:t>
      </w:r>
      <w:r>
        <w:rPr>
          <w:sz w:val="24"/>
        </w:rPr>
        <w:t>莲溪线、</w:t>
      </w:r>
      <w:r>
        <w:rPr>
          <w:sz w:val="24"/>
        </w:rPr>
        <w:t>X070</w:t>
      </w:r>
      <w:r>
        <w:rPr>
          <w:sz w:val="24"/>
        </w:rPr>
        <w:t>澄海西部通道、</w:t>
      </w:r>
      <w:r>
        <w:rPr>
          <w:sz w:val="24"/>
        </w:rPr>
        <w:t>X800</w:t>
      </w:r>
      <w:r>
        <w:rPr>
          <w:sz w:val="24"/>
        </w:rPr>
        <w:t>金狮路、</w:t>
      </w:r>
      <w:r>
        <w:rPr>
          <w:sz w:val="24"/>
        </w:rPr>
        <w:t>X801</w:t>
      </w:r>
      <w:r>
        <w:rPr>
          <w:sz w:val="24"/>
        </w:rPr>
        <w:t>上合线、</w:t>
      </w:r>
      <w:r>
        <w:rPr>
          <w:sz w:val="24"/>
        </w:rPr>
        <w:t>X802</w:t>
      </w:r>
      <w:r>
        <w:rPr>
          <w:sz w:val="24"/>
        </w:rPr>
        <w:t>澄海连接线、</w:t>
      </w:r>
      <w:r>
        <w:rPr>
          <w:sz w:val="24"/>
        </w:rPr>
        <w:t>X803</w:t>
      </w:r>
      <w:r>
        <w:rPr>
          <w:sz w:val="24"/>
        </w:rPr>
        <w:t>莲福线</w:t>
      </w:r>
      <w:r>
        <w:rPr>
          <w:sz w:val="24"/>
        </w:rPr>
        <w:t>。</w:t>
      </w:r>
    </w:p>
    <w:p>
      <w:pPr>
        <w:ind w:firstLine="480"/>
        <w:jc w:val="both"/>
      </w:pPr>
      <w:r>
        <w:rPr>
          <w:sz w:val="24"/>
        </w:rPr>
        <w:t>（</w:t>
      </w:r>
      <w:r>
        <w:rPr>
          <w:sz w:val="24"/>
        </w:rPr>
        <w:t>3</w:t>
      </w:r>
      <w:r>
        <w:rPr>
          <w:sz w:val="24"/>
        </w:rPr>
        <w:t>）服务期：一签多年（最长</w:t>
      </w:r>
      <w:r>
        <w:rPr>
          <w:sz w:val="24"/>
        </w:rPr>
        <w:t>3</w:t>
      </w:r>
      <w:r>
        <w:rPr>
          <w:sz w:val="24"/>
        </w:rPr>
        <w:t>年），一年一签。</w:t>
      </w:r>
    </w:p>
    <w:p/>
    <w:p>
      <w:pPr>
        <w:ind w:firstLine="480"/>
      </w:pPr>
    </w:p>
    <w:p/>
    <w:p>
      <w:r>
        <w:rPr/>
        <w:t>采购包1（汕头市澄海区地方公路管养中心公路日常养护服务市场化项目）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服务期限：一签多年（最长3年），一年一签。</w:t>
            </w:r>
          </w:p>
        </w:tc>
      </w:tr>
      <w:tr>
        <w:tc>
          <w:tcPr>
            <w:tcW w:type="dxa" w:w="4153"/>
          </w:tcPr>
          <w:p>
            <w:r>
              <w:rPr/>
              <w:t>标的提供的地点</w:t>
            </w:r>
          </w:p>
        </w:tc>
        <w:tc>
          <w:tcPr>
            <w:tcW w:type="dxa" w:w="4153"/>
          </w:tcPr>
          <w:p/>
          <w:p>
            <w:r>
              <w:rPr/>
              <w:t>金鸿公路（金洲大桥-G324平交口）、S503钱东-龙湖（莲花山潮州市交界处至G324平交口）、S504枫溪-海山、S505榕城-澄海、X051澄上线、X055官塘-南畔洲、X067金樟线、X068樟莲线、X069莲溪线、X070澄海西部通道、X800金狮路、X801上合线、X802澄海连接线、X803莲福线。</w:t>
            </w:r>
          </w:p>
        </w:tc>
      </w:tr>
      <w:tr>
        <w:tc>
          <w:tcPr>
            <w:tcW w:type="dxa" w:w="4153"/>
          </w:tcPr>
          <w:p>
            <w:r>
              <w:rPr/>
              <w:t>付款方式</w:t>
            </w:r>
          </w:p>
        </w:tc>
        <w:tc>
          <w:tcPr>
            <w:tcW w:type="dxa" w:w="4153"/>
          </w:tcPr>
          <w:p/>
          <w:p/>
          <w:p>
            <w:r>
              <w:rPr/>
              <w:t>1期：支付比例100%,①项目款项支付方式为：每月按考核结果支付一次。以一个月为检查考核付款单位。②支付时间：下一个月15日前支付前一个月的养护费用。③检査考核模式：按照《汕头市澄海区地方公路管养中心公路日常养护服务市场化项目考核办法》（合同附件）进行。各分项得分满分为100分，当月各分项平均考核分数在95分以上的，支付当月费用的100％；在95分的基础上每减少1分扣2000元；存在问题成交供应商应按照采购人发出的《整改通知书》，及时落实整改；一个年度累计三次考核分数低于75分的采购人有权终止承包合同，成交供应商承担由此造成的各项损失。 特别约定：鉴于本项目为财政资金，故上述条款约定的支付项目款的前提条件必须视财政资金到位情况，若因财政部门拨付审批时间所造成的支付延误，不作为采购人迟延支付的违约责任。成交供应商收款应按规定先开具发票。</w:t>
            </w:r>
          </w:p>
        </w:tc>
      </w:tr>
      <w:tr>
        <w:tc>
          <w:tcPr>
            <w:tcW w:type="dxa" w:w="4153"/>
          </w:tcPr>
          <w:p>
            <w:r>
              <w:rPr/>
              <w:t>验收要求</w:t>
            </w:r>
          </w:p>
        </w:tc>
        <w:tc>
          <w:tcPr>
            <w:tcW w:type="dxa" w:w="4153"/>
          </w:tcPr>
          <w:p/>
          <w:p/>
          <w:p/>
          <w:p>
            <w:r>
              <w:rPr/>
              <w:t>1期：按采购需要提供合格的服务。</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其他，一、项目管理要求 1、检查考核模式： （1）每月的10号前对上一个月进行定期检查考核评分（占60％）； （2）每月进行不定期检查考核评分（占40％）； （3）检查以分数量化的验收形式作为日常管理监督机制。日常检查时须二人以上同行，对养护不到位、不规范行为和被损设施拍照存据，填写表格（具体根据参加单位和内容设置），检查结果以口头要求整改、书面要求整改和扣分记录等形式作为减付管理费的依据，以及下次续管的不良条件。 2、检查考核及扣分标准：根据《汕头市澄海区地方公路管养中心公路日常养护服务市场化项目管理评分标准》。管理单位的得分按以下公式计算：分项评分，分项得分＝100－应扣分数。 3、成交供应商必须按照中标的养护经费标准与采购人签订承包合同，如不履约，取消其中标资格，并按要求承担相关责任，其中标资格由排名在下一位的供应商取代或重新采购。 4、成交供应商与采购人之间必须相互配合，服从采购人的管理，组织协调好管理养护工作，以保证高质量完成养护工作。 5、为确保项目质量，成交供应商不得转包、分包，如发现转包或分包，除停止合同外，索赔成交金额的5%做为另外采购和停工所造成的损失的补偿。 二、考核办法及相关标准 汕头市澄海区地方公路管养中心公路日常养护服务市场化项目考核办法 为加强汕头市澄海区地方公路管养中心公路日常养护服务市场化项目的检查监督，进一步提高管理服务水平，实现精细化、规范化管理目标，根据汕头市澄海区地方公路管养中心公路日常养护服务市场化项目磋商文件、服务合同及相关质量标准和技术规范，制定本办法。 （一）考核范围 按《汕头市澄海区地方公路管养中心公路日常养护服务市场化项目服务合同》的承包养护范围和内容，对合同约定范围内公路日常巡查、日常路面病害防治及路面坑槽修补（不含材料）、排水设施维护、恶劣天气应急处置、抢险、抢修、保通、相关公路附属设施应经常检查，存在受损等情况的，应及时组织修复、清通，情况严重的应做出修复方案并经采购人批准予以处理。 （二）考核机构与职责 （1）考评小组负责本项目的监管及月度定期考评和不定期检查考评工作，其中不定期检查考评工作由考核小组巡查组负责。 （2）考评小组负责本项目的日常监管工作，以及整改通知书发放、日常路面病害防治及路面坑槽修补材料增减核实、考核结果计算、汇总反馈、档案（养护材料）交存、承包管理费的核定及手续的办理。 （三）考核评分标准 执行《汕头市澄海区地方公路管养中心公路日常养护服务市场化项目管理评分标准》评分标准。 （四）考核办法 考核采取定期检查和不定期检查相结合的办法。 （1）每月的10号前对上一个月进行定期检查考核评分，依据各项考核评分标准进行检查评分，检查时对扣分项目应拍照存据； （2）每月进行不定期检查考核评分，根据工作实际，每月不定期检查不少于1次，采取抽样检查的办法，选取一个样地检查，由考核小组巡查组依据各项考核评分标准进行检查评分，每次填写一套评分表，检查时承包人应随同。 （五）评分办法 （1）检查时对公路设施管理进行评分。 （2）分项考核分数采取百分制，其中定期检查平均分数占60％，不定期检查平均分数占40％。 分项当月考核分数S=定期检查平均分数（Sd）×60%+不定期检查平均分数（Su）×40% 1）定期检查平均分数：Sd =∑定期检查分数/定期检查次数 2）不定期检查平均分数：Su=∑不定期检查分数/不定期检查次数 （六）承包管理费核定 以各分项每月平均考核分数作为计算每月承包管理费的依据。 （1）当月各分项平均考核分数（S）在95分以上的，支付当月费用的100％。 （2）在95分的基础上每减少1分扣2000元。 （3）存在问题成交供应商应按照采购人发出的《整改通知书》，及时落实整改。 （4）一个年度累计三次考核分数低于75分的采购人有权终止承包合同，成交供应商承担由此造成的各项损失。 （七）附则 （1）本办法自《汕头市澄海区地方公路管养中心公路日常养护服务市场化项目服务合同》签约之日起实施，汕头市澄海区地方公路管养中心有权根据管理实际进行修改。 （2）汕头市澄海区地方公路管养中心公路日常养护服务市场化项目管理各分项评分标准另行制定实施。 （3）本办法解释权属汕头市澄海区地方公路管养中心。 附件一、汕头市澄海区地方公路管养中心公路日常养护服务市场化项目考核表（详见合同 附件一、汕头市澄海区地方公路管养中心公路日常养护服务市场化项目考核表）</w:t>
            </w: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w:t>
            </w:r>
          </w:p>
        </w:tc>
        <w:tc>
          <w:tcPr>
            <w:tcW w:type="dxa" w:w="2076"/>
          </w:tcPr>
          <w:p>
            <w:pPr>
              <w:jc w:val="left"/>
            </w:pPr>
            <w:r>
              <w:rPr/>
              <w:t>（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 （3）成交供应商在同等条件下，需优先吸纳采购人分流或清退解除劳动关系的就业困难人员。 （4）为盘活资产，降低养护成本，避免废弃失用，现有道班房及养护机械、车辆、工具等可无偿作为成交供应商服务期内的养护基地使用，成交供应商需妥善管理使用及维护，并承担道班用房及车辆、机具的日常办公、维护费用，意向参与的供应商应在投标报价中，合理核减养护用房及机械等成本，把有限的养护资金核算在公路的日常养护中。 （5）作业车辆应做好日常车辆保养及维修工作，保持外观清洁、干净；车容整洁，车况良好。若出现设备故障，成交供应商必须及时解决或者提供备用设备，以保证服务质量。 合同期满，成交供应商应如数归还由采购人提供使用的道班用房、工具设备及车辆，若造成损坏或数量不足的，成交供应商需按新购价赔偿采购人。若成交供应商不履行责任的，采购人可在成交供应商的承包款中扣减相关费用后再行付款，由此造成的付款时间延误由成交供应商负责。</w:t>
            </w:r>
          </w:p>
        </w:tc>
      </w:tr>
      <w:tr>
        <w:tc>
          <w:tcPr>
            <w:tcW w:type="dxa" w:w="2076"/>
          </w:tcPr>
          <w:p>
            <w:pPr>
              <w:jc w:val="center"/>
            </w:pPr>
          </w:p>
        </w:tc>
        <w:tc>
          <w:tcPr>
            <w:tcW w:type="dxa" w:w="2076"/>
          </w:tcPr>
          <w:p>
            <w:pPr>
              <w:jc w:val="center"/>
            </w:pPr>
            <w:r>
              <w:rPr/>
              <w:t>2</w:t>
            </w:r>
          </w:p>
        </w:tc>
        <w:tc>
          <w:tcPr>
            <w:tcW w:type="dxa" w:w="2076"/>
          </w:tcPr>
          <w:p>
            <w:pPr>
              <w:jc w:val="left"/>
            </w:pPr>
            <w:r>
              <w:rPr/>
              <w:t>保险</w:t>
            </w:r>
          </w:p>
        </w:tc>
        <w:tc>
          <w:tcPr>
            <w:tcW w:type="dxa" w:w="2076"/>
          </w:tcPr>
          <w:p>
            <w:pPr>
              <w:jc w:val="left"/>
            </w:pPr>
            <w:r>
              <w:rPr/>
              <w:t>成交供应商承包期间负责汽车的保险、年检、油耗、保养、维护。成交供应商应为员工购买人身意外保险，在施工作业过程中（包含可以认定工伤的时段）所发生的一切安全事故、违章、交通事故（包括采购人配给成交供应商的车辆）、意外事故不论造成他人损失还是员工自身的损失的一切责任由成交供应商承担，与采购人无关。</w:t>
            </w:r>
          </w:p>
        </w:tc>
      </w:tr>
      <w:tr>
        <w:tc>
          <w:tcPr>
            <w:tcW w:type="dxa" w:w="2076"/>
          </w:tcPr>
          <w:p>
            <w:pPr>
              <w:jc w:val="center"/>
            </w:pPr>
            <w:r>
              <w:rPr/>
              <w:t>▲</w:t>
            </w:r>
          </w:p>
        </w:tc>
        <w:tc>
          <w:tcPr>
            <w:tcW w:type="dxa" w:w="2076"/>
          </w:tcPr>
          <w:p>
            <w:pPr>
              <w:jc w:val="center"/>
            </w:pPr>
            <w:r>
              <w:rPr/>
              <w:t>3</w:t>
            </w:r>
          </w:p>
        </w:tc>
        <w:tc>
          <w:tcPr>
            <w:tcW w:type="dxa" w:w="2076"/>
          </w:tcPr>
          <w:p>
            <w:pPr>
              <w:jc w:val="left"/>
            </w:pPr>
            <w:r>
              <w:rPr/>
              <w:t>报价要求</w:t>
            </w:r>
          </w:p>
        </w:tc>
        <w:tc>
          <w:tcPr>
            <w:tcW w:type="dxa" w:w="2076"/>
          </w:tcPr>
          <w:p>
            <w:pPr>
              <w:jc w:val="left"/>
            </w:pPr>
            <w:r>
              <w:rPr/>
              <w:t>项目采购预算金额为人民币2253220.00元/年。日常路面病害防治及路面坑槽修补材料由采购人提供；报价须包括但不限于税费、保险费（人员及车辆）、施工、安装调试费、验收、供应商派驻人员工资、福利、服装、设备车辆运行养护、年检、油耗、其它费用等所有费用一切支出。所有价格均应为人民币报价，金额单位为元。</w:t>
            </w:r>
          </w:p>
        </w:tc>
      </w:tr>
      <w:tr>
        <w:tc>
          <w:tcPr>
            <w:tcW w:type="dxa" w:w="2076"/>
          </w:tcPr>
          <w:p>
            <w:pPr>
              <w:jc w:val="center"/>
            </w:pPr>
            <w:r>
              <w:rPr/>
              <w:t>★</w:t>
            </w:r>
          </w:p>
        </w:tc>
        <w:tc>
          <w:tcPr>
            <w:tcW w:type="dxa" w:w="2076"/>
          </w:tcPr>
          <w:p>
            <w:pPr>
              <w:jc w:val="center"/>
            </w:pPr>
            <w:r>
              <w:rPr/>
              <w:t>4</w:t>
            </w:r>
          </w:p>
        </w:tc>
        <w:tc>
          <w:tcPr>
            <w:tcW w:type="dxa" w:w="2076"/>
          </w:tcPr>
          <w:p>
            <w:pPr>
              <w:jc w:val="left"/>
            </w:pPr>
            <w:r>
              <w:rPr/>
              <w:t>报价要求</w:t>
            </w:r>
          </w:p>
        </w:tc>
        <w:tc>
          <w:tcPr>
            <w:tcW w:type="dxa" w:w="2076"/>
          </w:tcPr>
          <w:p>
            <w:pPr>
              <w:jc w:val="left"/>
            </w:pPr>
            <w:r>
              <w:rPr/>
              <w:t>供应商报价不得高于项目采购预算金额，否则按无效响应处理。取成交供应商的报价作为合同价。</w:t>
            </w:r>
          </w:p>
        </w:tc>
      </w:tr>
      <w:tr>
        <w:tc>
          <w:tcPr>
            <w:tcW w:type="dxa" w:w="2076"/>
          </w:tcPr>
          <w:p>
            <w:pPr>
              <w:jc w:val="center"/>
            </w:pPr>
          </w:p>
        </w:tc>
        <w:tc>
          <w:tcPr>
            <w:tcW w:type="dxa" w:w="2076"/>
          </w:tcPr>
          <w:p>
            <w:pPr>
              <w:jc w:val="center"/>
            </w:pPr>
            <w:r>
              <w:rPr/>
              <w:t>5</w:t>
            </w:r>
          </w:p>
        </w:tc>
        <w:tc>
          <w:tcPr>
            <w:tcW w:type="dxa" w:w="2076"/>
          </w:tcPr>
          <w:p>
            <w:pPr>
              <w:jc w:val="left"/>
            </w:pPr>
            <w:r>
              <w:rPr/>
              <w:t>经验要求</w:t>
            </w:r>
          </w:p>
        </w:tc>
        <w:tc>
          <w:tcPr>
            <w:tcW w:type="dxa" w:w="2076"/>
          </w:tcPr>
          <w:p>
            <w:pPr>
              <w:jc w:val="left"/>
            </w:pPr>
            <w:r>
              <w:rPr/>
              <w:t>供应商在经营范围内报价，且近年来资信良好，履约能力强，没有违法记录。</w:t>
            </w:r>
          </w:p>
        </w:tc>
      </w:tr>
      <w:tr>
        <w:tc>
          <w:tcPr>
            <w:tcW w:type="dxa" w:w="2076"/>
          </w:tcPr>
          <w:p>
            <w:pPr>
              <w:jc w:val="center"/>
            </w:pPr>
          </w:p>
        </w:tc>
        <w:tc>
          <w:tcPr>
            <w:tcW w:type="dxa" w:w="2076"/>
          </w:tcPr>
          <w:p>
            <w:pPr>
              <w:jc w:val="center"/>
            </w:pPr>
            <w:r>
              <w:rPr/>
              <w:t>6</w:t>
            </w:r>
          </w:p>
        </w:tc>
        <w:tc>
          <w:tcPr>
            <w:tcW w:type="dxa" w:w="2076"/>
          </w:tcPr>
          <w:p>
            <w:pPr>
              <w:jc w:val="left"/>
            </w:pPr>
            <w:r>
              <w:rPr/>
              <w:t>合同条款响应</w:t>
            </w:r>
          </w:p>
        </w:tc>
        <w:tc>
          <w:tcPr>
            <w:tcW w:type="dxa" w:w="2076"/>
          </w:tcPr>
          <w:p>
            <w:pPr>
              <w:jc w:val="left"/>
            </w:pPr>
            <w:r>
              <w:rPr/>
              <w:t>同意接受合同范本所列述的各项条款。</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公路管理和养护服务</w:t>
            </w:r>
          </w:p>
        </w:tc>
        <w:tc>
          <w:tcPr>
            <w:tcW w:type="dxa" w:w="933"/>
          </w:tcPr>
          <w:p>
            <w:pPr>
              <w:jc w:val="left"/>
            </w:pPr>
            <w:r>
              <w:rPr/>
              <w:t>汕头市澄海区地方公路管养中心公路日常养护服务市场化项目</w:t>
            </w:r>
          </w:p>
        </w:tc>
        <w:tc>
          <w:tcPr>
            <w:tcW w:type="dxa" w:w="933"/>
          </w:tcPr>
          <w:p>
            <w:pPr>
              <w:jc w:val="left"/>
            </w:pPr>
            <w:r>
              <w:rPr/>
              <w:t>年</w:t>
            </w:r>
          </w:p>
        </w:tc>
        <w:tc>
          <w:tcPr>
            <w:tcW w:type="dxa" w:w="933"/>
          </w:tcPr>
          <w:p>
            <w:pPr>
              <w:jc w:val="right"/>
            </w:pPr>
            <w:r>
              <w:rPr/>
              <w:t>1.00</w:t>
            </w:r>
          </w:p>
        </w:tc>
        <w:tc>
          <w:tcPr>
            <w:tcW w:type="dxa" w:w="933"/>
          </w:tcPr>
          <w:p>
            <w:pPr>
              <w:jc w:val="right"/>
            </w:pPr>
            <w:r>
              <w:rPr/>
              <w:t>2,253,220.00</w:t>
            </w:r>
          </w:p>
        </w:tc>
        <w:tc>
          <w:tcPr>
            <w:tcW w:type="dxa" w:w="933"/>
          </w:tcPr>
          <w:p>
            <w:pPr>
              <w:jc w:val="right"/>
            </w:pPr>
            <w:r>
              <w:rPr/>
              <w:t>2,253,220.00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汕头市澄海区地方公路管养中心公路日常养护服务市场化项目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80"/>
              <w:jc w:val="left"/>
            </w:pPr>
            <w:r>
              <w:rPr>
                <w:sz w:val="22"/>
              </w:rPr>
              <w:t>（</w:t>
            </w:r>
            <w:r>
              <w:rPr>
                <w:sz w:val="22"/>
              </w:rPr>
              <w:t>1</w:t>
            </w:r>
            <w:r>
              <w:rPr>
                <w:sz w:val="22"/>
              </w:rPr>
              <w:t>）公路设施管理要求</w:t>
            </w:r>
          </w:p>
          <w:p>
            <w:pPr>
              <w:ind w:firstLine="480"/>
              <w:jc w:val="left"/>
            </w:pPr>
            <w:r>
              <w:rPr>
                <w:sz w:val="22"/>
              </w:rPr>
              <w:t>①严格按照《公路养护技术规范》、《公路养护安全作业规程》等公路工程有关规范进行施工管理。</w:t>
            </w:r>
          </w:p>
          <w:p>
            <w:pPr>
              <w:ind w:firstLine="480"/>
              <w:jc w:val="left"/>
            </w:pPr>
            <w:r>
              <w:rPr>
                <w:sz w:val="22"/>
              </w:rPr>
              <w:t>②在养护期间严格执行但不限于《公路养护技术规范》、《公路技术状况评定标准》、《公路水泥混凝土路面养护技术规范》、《公路沥青路面养护技术规范》、《公路养护安全作业规程》、《公路交通标志和标线设置规范》、《道路交通标志和标线》（</w:t>
            </w:r>
            <w:r>
              <w:rPr>
                <w:sz w:val="22"/>
              </w:rPr>
              <w:t>GB5768-2009</w:t>
            </w:r>
            <w:r>
              <w:rPr>
                <w:sz w:val="22"/>
              </w:rPr>
              <w:t>）、《公路交通安全设施设计细则》等规范的要求，确保各项公路完好，行车畅顺。</w:t>
            </w:r>
          </w:p>
          <w:p>
            <w:pPr>
              <w:ind w:firstLine="480"/>
              <w:jc w:val="left"/>
            </w:pPr>
            <w:r>
              <w:rPr>
                <w:sz w:val="22"/>
              </w:rPr>
              <w:t>③对合同约定范围内公路日常巡查、日常路面病害防治及路面坑槽修补（不含材料）、排水设施维护、恶劣天气应急处置、抢险、抢修、保通、相关公路附属设施应经常检查，存在受损等情况的，应及时组织修复、清通，情况严重的应做出修复方案并经采购人批准予以处理。</w:t>
            </w:r>
          </w:p>
          <w:p>
            <w:pPr>
              <w:ind w:firstLine="480"/>
              <w:jc w:val="left"/>
            </w:pPr>
            <w:r>
              <w:rPr>
                <w:sz w:val="22"/>
              </w:rPr>
              <w:t>④要经常组织下水道的清通维护工作，保持排水系统处于良好状态，发现路面非正常严重积水的，要及时上报，并及时制订维护方案予以处理，直至问题解决。</w:t>
            </w:r>
          </w:p>
          <w:p>
            <w:pPr>
              <w:ind w:firstLine="480"/>
              <w:jc w:val="left"/>
            </w:pPr>
            <w:r>
              <w:rPr>
                <w:sz w:val="22"/>
              </w:rPr>
              <w:t>⑤确保道路、桥涵等公路基础设施的干净、使用性能、安全性能及外观完整美观。保障道路行车安全、舒适、畅通，人行道行人通行无阻。对不能及时修复的受损设施，应做好安全防护措施及安全标志。对检查发现或群众反映的公路设施受损情况如井盖破损或被盗等情况，应及时处理，尽可能当天修复。</w:t>
            </w:r>
          </w:p>
          <w:p>
            <w:pPr>
              <w:ind w:firstLine="480"/>
              <w:jc w:val="left"/>
            </w:pPr>
            <w:r>
              <w:rPr>
                <w:sz w:val="22"/>
              </w:rPr>
              <w:t>⑥在维修维护施工过程中应做好工作现场安全保护措施，确保作业人员自身安全及过往车辆行人的安全。</w:t>
            </w:r>
          </w:p>
          <w:p>
            <w:pPr>
              <w:ind w:firstLine="480"/>
              <w:jc w:val="left"/>
            </w:pPr>
            <w:r>
              <w:rPr>
                <w:sz w:val="22"/>
              </w:rPr>
              <w:t>⑦要积极使用新技术、新材料、新设备、新经验，注意科学养护与经济效益相结合。</w:t>
            </w:r>
            <w:r>
              <w:rPr>
                <w:sz w:val="22"/>
              </w:rPr>
              <w:t xml:space="preserve"> </w:t>
            </w:r>
          </w:p>
          <w:p>
            <w:pPr>
              <w:ind w:firstLine="480"/>
              <w:jc w:val="left"/>
            </w:pPr>
            <w:r>
              <w:rPr>
                <w:sz w:val="22"/>
              </w:rPr>
              <w:t>⑧成交供应商要合理使用年度养护资金，要勤俭节约，把有限的养护资金用在公路日常维护中。</w:t>
            </w:r>
          </w:p>
          <w:p>
            <w:pPr>
              <w:ind w:firstLine="480"/>
              <w:jc w:val="left"/>
            </w:pPr>
            <w:r>
              <w:rPr>
                <w:sz w:val="22"/>
              </w:rPr>
              <w:t>⑨服务期限内涉及路面病害防治及路面坑槽修补所需材料，应按时向采购人申请，并做好材料结算的相关工作。</w:t>
            </w:r>
          </w:p>
          <w:p>
            <w:pPr>
              <w:ind w:firstLine="480"/>
              <w:jc w:val="left"/>
            </w:pPr>
            <w:r>
              <w:rPr>
                <w:sz w:val="22"/>
              </w:rPr>
              <w:t>（</w:t>
            </w:r>
            <w:r>
              <w:rPr>
                <w:sz w:val="22"/>
              </w:rPr>
              <w:t>2</w:t>
            </w:r>
            <w:r>
              <w:rPr>
                <w:sz w:val="22"/>
              </w:rPr>
              <w:t>）人员配置：配备养护人员（含管理人员）</w:t>
            </w:r>
            <w:r>
              <w:rPr>
                <w:sz w:val="21"/>
              </w:rPr>
              <w:t>不少于15名，</w:t>
            </w:r>
            <w:r>
              <w:rPr>
                <w:sz w:val="22"/>
              </w:rPr>
              <w:t>负责对养护维护工作的管理。养护人员（含管理人员）应科学管理、分工明确，确保巡查督促到位。</w:t>
            </w:r>
          </w:p>
          <w:p>
            <w:pPr>
              <w:ind w:firstLine="480"/>
              <w:jc w:val="left"/>
            </w:pPr>
            <w:r>
              <w:rPr>
                <w:sz w:val="22"/>
              </w:rPr>
              <w:t>（</w:t>
            </w:r>
            <w:r>
              <w:rPr>
                <w:sz w:val="22"/>
              </w:rPr>
              <w:t>3</w:t>
            </w:r>
            <w:r>
              <w:rPr>
                <w:sz w:val="22"/>
              </w:rPr>
              <w:t>）服务期限内涉及养护范围变化或养护职能变更的，由采购人和成交供应商双方进行协商解决。</w:t>
            </w:r>
          </w:p>
          <w:p>
            <w:pPr>
              <w:jc w:val="both"/>
            </w:pPr>
            <w:r>
              <w:rPr>
                <w:sz w:val="21"/>
              </w:rPr>
              <w:t xml:space="preserve">  （4）成交供应商必须落实安全生产措施，且应按采购人以及有关部门的要求，配备相关安全警示标志及消防设施，养护作业人员上岗前必须进行安全教育和技术培训，为上岗工人配置统一的工作服和反光袖套，自行解决安全作业问题。在进行养护作业时，现场一定要做好安全防护后才能进场施工，同时成交供应商必须认真负责，并注意安全操作，如发生任何意外，成交供应商负责事故处理及一切费用，概与采购人无关。</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汕头市澄海区地方公路管养中心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本次采购向成交供应商收取成交服务费，成交供应商在领取《成交通知书》时应向采购代理机构交纳成交服务费，成交服务费按一签多年（最长3年）进行计算，成交服务费共计人民币伍万肆仟玖佰元整（54900.00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汕头市澄海区地方公路管养中心公路日常养护服务市场化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采购包1（汕头市澄海区地方公路管养中心公路日常养护服务市场化项目）：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采购包1（汕头市澄海区地方公路管养中心公路日常养护服务市场化项目）：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资格要求</w:t>
            </w:r>
          </w:p>
        </w:tc>
        <w:tc>
          <w:tcPr>
            <w:tcW w:type="dxa" w:w="4238"/>
          </w:tcPr>
          <w:p>
            <w:r>
              <w:rPr/>
              <w:t>本采购包不接受联合体响应。</w:t>
            </w:r>
          </w:p>
        </w:tc>
      </w:tr>
      <w:tr>
        <w:tc>
          <w:tcPr>
            <w:tcW w:type="dxa" w:w="890"/>
          </w:tcPr>
          <w:p>
            <w:r>
              <w:rPr/>
              <w:t>9</w:t>
            </w:r>
          </w:p>
        </w:tc>
        <w:tc>
          <w:tcPr>
            <w:tcW w:type="dxa" w:w="3178"/>
          </w:tcPr>
          <w:p>
            <w:r>
              <w:rPr/>
              <w:t>本采购包专门面向中小企业采购</w:t>
            </w:r>
          </w:p>
        </w:tc>
        <w:tc>
          <w:tcPr>
            <w:tcW w:type="dxa" w:w="4238"/>
          </w:tcPr>
          <w:p>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tc>
      </w:tr>
    </w:tbl>
    <w:p/>
    <w:p>
      <w:pPr>
        <w:ind w:firstLine="480"/>
      </w:pPr>
      <w:r>
        <w:rPr/>
        <w:t>表二符合性审查表：</w:t>
      </w:r>
    </w:p>
    <w:p>
      <w:pPr>
        <w:ind w:firstLine="480"/>
      </w:pPr>
    </w:p>
    <w:p/>
    <w:p>
      <w:r>
        <w:rPr/>
        <w:t>采购包1（汕头市澄海区地方公路管养中心公路日常养护服务市场化项目）：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符合性审查</w:t>
            </w:r>
          </w:p>
        </w:tc>
        <w:tc>
          <w:tcPr>
            <w:tcW w:type="dxa" w:w="4238"/>
          </w:tcPr>
          <w:p>
            <w:r>
              <w:rPr/>
              <w:t>投标报价不得超过项目采购预算金额。</w:t>
            </w:r>
          </w:p>
        </w:tc>
      </w:tr>
      <w:tr>
        <w:tc>
          <w:tcPr>
            <w:tcW w:type="dxa" w:w="890"/>
          </w:tcPr>
          <w:p>
            <w:r>
              <w:rPr/>
              <w:t>2</w:t>
            </w:r>
          </w:p>
        </w:tc>
        <w:tc>
          <w:tcPr>
            <w:tcW w:type="dxa" w:w="3178"/>
          </w:tcPr>
          <w:p>
            <w:r>
              <w:rPr/>
              <w:t>符合性审查</w:t>
            </w:r>
          </w:p>
        </w:tc>
        <w:tc>
          <w:tcPr>
            <w:tcW w:type="dxa" w:w="4238"/>
          </w:tcPr>
          <w:p>
            <w:r>
              <w:rPr/>
              <w:t>磋商文件明示盖公章处有加盖公章。</w:t>
            </w:r>
          </w:p>
        </w:tc>
      </w:tr>
      <w:tr>
        <w:tc>
          <w:tcPr>
            <w:tcW w:type="dxa" w:w="890"/>
          </w:tcPr>
          <w:p>
            <w:r>
              <w:rPr/>
              <w:t>3</w:t>
            </w:r>
          </w:p>
        </w:tc>
        <w:tc>
          <w:tcPr>
            <w:tcW w:type="dxa" w:w="3178"/>
          </w:tcPr>
          <w:p>
            <w:r>
              <w:rPr/>
              <w:t>符合性审查</w:t>
            </w:r>
          </w:p>
        </w:tc>
        <w:tc>
          <w:tcPr>
            <w:tcW w:type="dxa" w:w="4238"/>
          </w:tcPr>
          <w:p>
            <w:r>
              <w:rPr/>
              <w:t>磋商文件明示需签字处有法定代表人或授权代表签字的。</w:t>
            </w:r>
          </w:p>
        </w:tc>
      </w:tr>
      <w:tr>
        <w:tc>
          <w:tcPr>
            <w:tcW w:type="dxa" w:w="890"/>
          </w:tcPr>
          <w:p>
            <w:r>
              <w:rPr/>
              <w:t>4</w:t>
            </w:r>
          </w:p>
        </w:tc>
        <w:tc>
          <w:tcPr>
            <w:tcW w:type="dxa" w:w="3178"/>
          </w:tcPr>
          <w:p>
            <w:r>
              <w:rPr/>
              <w:t>符合性审查</w:t>
            </w:r>
          </w:p>
        </w:tc>
        <w:tc>
          <w:tcPr>
            <w:tcW w:type="dxa" w:w="4238"/>
          </w:tcPr>
          <w:p>
            <w:r>
              <w:rPr/>
              <w:t>报价有效期满足磋商文件要求。</w:t>
            </w:r>
          </w:p>
        </w:tc>
      </w:tr>
      <w:tr>
        <w:tc>
          <w:tcPr>
            <w:tcW w:type="dxa" w:w="890"/>
          </w:tcPr>
          <w:p>
            <w:r>
              <w:rPr/>
              <w:t>5</w:t>
            </w:r>
          </w:p>
        </w:tc>
        <w:tc>
          <w:tcPr>
            <w:tcW w:type="dxa" w:w="3178"/>
          </w:tcPr>
          <w:p>
            <w:r>
              <w:rPr/>
              <w:t>符合性审查</w:t>
            </w:r>
          </w:p>
        </w:tc>
        <w:tc>
          <w:tcPr>
            <w:tcW w:type="dxa" w:w="4238"/>
          </w:tcPr>
          <w:p>
            <w:r>
              <w:rPr/>
              <w:t>响应文件能按磋商文件的要求编制。</w:t>
            </w:r>
          </w:p>
        </w:tc>
      </w:tr>
      <w:tr>
        <w:tc>
          <w:tcPr>
            <w:tcW w:type="dxa" w:w="890"/>
          </w:tcPr>
          <w:p>
            <w:r>
              <w:rPr/>
              <w:t>6</w:t>
            </w:r>
          </w:p>
        </w:tc>
        <w:tc>
          <w:tcPr>
            <w:tcW w:type="dxa" w:w="3178"/>
          </w:tcPr>
          <w:p>
            <w:r>
              <w:rPr/>
              <w:t>符合性审查</w:t>
            </w:r>
          </w:p>
        </w:tc>
        <w:tc>
          <w:tcPr>
            <w:tcW w:type="dxa" w:w="4238"/>
          </w:tcPr>
          <w:p>
            <w:r>
              <w:rPr/>
              <w:t>符合磋商文件中规定的其它条款。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采购包1(汕头市澄海区地方公路管养中心公路日常养护服务市场化项目):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技术部分55.0分</w:t>
            </w:r>
          </w:p>
          <w:p>
            <w:r>
              <w:rPr/>
              <w:t>报价得分15.0分</w:t>
            </w:r>
          </w:p>
        </w:tc>
      </w:tr>
      <w:tr>
        <w:tc>
          <w:tcPr>
            <w:tcW w:type="dxa" w:w="922"/>
            <w:gridSpan w:val="2"/>
            <w:vMerge w:val="restart"/>
          </w:tcPr>
          <w:p>
            <w:pPr>
              <w:jc w:val="center"/>
            </w:pPr>
            <w:r>
              <w:rPr/>
              <w:t>技术部分</w:t>
            </w:r>
          </w:p>
        </w:tc>
        <w:tc>
          <w:tcPr>
            <w:tcW w:type="dxa" w:w="2307"/>
          </w:tcPr>
          <w:p>
            <w:pPr>
              <w:jc w:val="left"/>
            </w:pPr>
            <w:r>
              <w:rPr/>
              <w:t>养护总体实施方案 (20.0分)</w:t>
            </w:r>
            <w:r>
              <w:rPr/>
              <w:t>，（等次分值选择：</w:t>
            </w:r>
            <w:r>
              <w:rPr/>
              <w:t>0.0;</w:t>
            </w:r>
            <w:r>
              <w:rPr/>
              <w:t>1.0;</w:t>
            </w:r>
            <w:r>
              <w:rPr/>
              <w:t>5.0;</w:t>
            </w:r>
            <w:r>
              <w:rPr/>
              <w:t>10.0;</w:t>
            </w:r>
            <w:r>
              <w:rPr/>
              <w:t>20.0;</w:t>
            </w:r>
            <w:r>
              <w:rPr/>
              <w:t>）</w:t>
            </w:r>
          </w:p>
        </w:tc>
        <w:tc>
          <w:tcPr>
            <w:tcW w:type="dxa" w:w="5076"/>
          </w:tcPr>
          <w:p>
            <w:pPr>
              <w:jc w:val="left"/>
            </w:pPr>
            <w:r>
              <w:rPr/>
              <w:t>本项的评审是在投标方案能满足本项目养护的基本需要的基础上进行，对方案内施工设备的配备、劳动力投入计划及质量保证措施、与采购人的协调、时间响应、养护技术及程序、安全防护、文明施工方案等内容的科学性、安全性、可行性、完整性进行评审。 （1）养护方案优于采购需求，方案内容的科学性、安全性、可行性、完整性强，得20分； （2）养护方案满足采购需求，方案内容的科学性、安全性、可行性、完整性较强，得10分； （3）养护方案满足采购需求，方案内容的科学性、安全性、可行性、完整性一般的，得5分； （4）养护方案满足采购需求，方案内容的科学性、安全性、可行性、完整性差，得1分； （5）无提供方案不得分。</w:t>
            </w:r>
          </w:p>
        </w:tc>
      </w:tr>
      <w:tr>
        <w:tc>
          <w:tcPr>
            <w:tcW w:type="dxa" w:w="922"/>
            <w:gridSpan w:val="2"/>
            <w:vMerge/>
          </w:tcPr>
          <w:p/>
        </w:tc>
        <w:tc>
          <w:tcPr>
            <w:tcW w:type="dxa" w:w="2307"/>
          </w:tcPr>
          <w:p>
            <w:pPr>
              <w:jc w:val="left"/>
            </w:pPr>
            <w:r>
              <w:rPr/>
              <w:t>对本项目的理解和技术建议 (10.0分)</w:t>
            </w:r>
            <w:r>
              <w:rPr/>
              <w:t>，（等次分值选择：</w:t>
            </w:r>
            <w:r>
              <w:rPr/>
              <w:t>0.0;</w:t>
            </w:r>
            <w:r>
              <w:rPr/>
              <w:t>1.0;</w:t>
            </w:r>
            <w:r>
              <w:rPr/>
              <w:t>3.0;</w:t>
            </w:r>
            <w:r>
              <w:rPr/>
              <w:t>6.0;</w:t>
            </w:r>
            <w:r>
              <w:rPr/>
              <w:t>10.0;</w:t>
            </w:r>
            <w:r>
              <w:rPr/>
              <w:t>）</w:t>
            </w:r>
          </w:p>
        </w:tc>
        <w:tc>
          <w:tcPr>
            <w:tcW w:type="dxa" w:w="5076"/>
          </w:tcPr>
          <w:p>
            <w:pPr>
              <w:jc w:val="left"/>
            </w:pPr>
            <w:r>
              <w:rPr/>
              <w:t>对本项目的理解和技术建议；项目熟悉情况、工作目标、对工作重点和难点认识，解决措施进行评审。 （1）对项目非常理解，工作目标明确，对工作的重点和难点充分了解，解决措施科学合理的，得10分； （2）对项目基本理解，工作目标基本明确，对工作的重点和难点基本了解，解决措施合理的，得6分； （3）对项目理解一般，对工作的重点和难点了解一般，解决措施一般，得3分； （4）对项目理解不了解，对工作的重点和难点不了解，解决措施缺乏合理性和可操作性，得1分； （5）无提供方案不得分。</w:t>
            </w:r>
          </w:p>
        </w:tc>
      </w:tr>
      <w:tr>
        <w:tc>
          <w:tcPr>
            <w:tcW w:type="dxa" w:w="922"/>
            <w:gridSpan w:val="2"/>
            <w:vMerge/>
          </w:tcPr>
          <w:p/>
        </w:tc>
        <w:tc>
          <w:tcPr>
            <w:tcW w:type="dxa" w:w="2307"/>
          </w:tcPr>
          <w:p>
            <w:pPr>
              <w:jc w:val="left"/>
            </w:pPr>
            <w:r>
              <w:rPr/>
              <w:t>内部管理制度 (5.0分)</w:t>
            </w:r>
            <w:r>
              <w:rPr/>
              <w:t>，（等次分值选择：</w:t>
            </w:r>
            <w:r>
              <w:rPr/>
              <w:t>0.0;</w:t>
            </w:r>
            <w:r>
              <w:rPr/>
              <w:t>1.0;</w:t>
            </w:r>
            <w:r>
              <w:rPr/>
              <w:t>3.0;</w:t>
            </w:r>
            <w:r>
              <w:rPr/>
              <w:t>5.0;</w:t>
            </w:r>
            <w:r>
              <w:rPr/>
              <w:t>）</w:t>
            </w:r>
          </w:p>
        </w:tc>
        <w:tc>
          <w:tcPr>
            <w:tcW w:type="dxa" w:w="5076"/>
          </w:tcPr>
          <w:p>
            <w:pPr>
              <w:jc w:val="left"/>
            </w:pPr>
            <w:r>
              <w:rPr/>
              <w:t>根据各供应商是否具有完善的规章管理制度进行综合评价： （1）规章管理制度全面、科学合理、实施方法可行性高，得5分； （2）章管理制度基本合理、实施方法一般可行，得3分； （3）章管理制度和实施方法较差，得1分。 （4）没有提供不得分。</w:t>
            </w:r>
          </w:p>
        </w:tc>
      </w:tr>
      <w:tr>
        <w:tc>
          <w:tcPr>
            <w:tcW w:type="dxa" w:w="922"/>
            <w:gridSpan w:val="2"/>
            <w:vMerge/>
          </w:tcPr>
          <w:p/>
        </w:tc>
        <w:tc>
          <w:tcPr>
            <w:tcW w:type="dxa" w:w="2307"/>
          </w:tcPr>
          <w:p>
            <w:pPr>
              <w:jc w:val="left"/>
            </w:pPr>
            <w:r>
              <w:rPr/>
              <w:t>应急处置方案 (10.0分)</w:t>
            </w:r>
            <w:r>
              <w:rPr/>
              <w:t>，（等次分值选择：</w:t>
            </w:r>
            <w:r>
              <w:rPr/>
              <w:t>0.0;</w:t>
            </w:r>
            <w:r>
              <w:rPr/>
              <w:t>1.0;</w:t>
            </w:r>
            <w:r>
              <w:rPr/>
              <w:t>3.0;</w:t>
            </w:r>
            <w:r>
              <w:rPr/>
              <w:t>6.0;</w:t>
            </w:r>
            <w:r>
              <w:rPr/>
              <w:t>10.0;</w:t>
            </w:r>
            <w:r>
              <w:rPr/>
              <w:t>）</w:t>
            </w:r>
          </w:p>
        </w:tc>
        <w:tc>
          <w:tcPr>
            <w:tcW w:type="dxa" w:w="5076"/>
          </w:tcPr>
          <w:p>
            <w:pPr>
              <w:jc w:val="left"/>
            </w:pPr>
            <w:r>
              <w:rPr/>
              <w:t>针对台风、暴雨等恶劣天气影响，重大接待任务，重大节假日或活动等特殊情况制定应急处置方案，包括传达机制、人员和设备调配、责任分工等。 （1）急处置方案中针对台风、暴雨等恶劣天气影响，重大接待任务，重大节假日或活动等特殊情况制定的应急处置方案，传达机制有效、人员和设备调配最合理、责任分工明确的，得10分； （2）急处置方案中针对台风、暴雨等恶劣天气影响，重大接待任务，重大节假日或活动等特殊情况制定的应急处置方案，传达机制较有效、人员和设备调配一般、责任分工较明确的，得6分； （3）急处置方案中针对台风、暴雨等恶劣天气影响，重大接待任务，重大节假日或活动等特殊情况制定的应急处置方案，传达机制一般、人员和设备调配一般、责任分工一般的，得3分； （4）应急处置方案中针对台风、暴雨等恶劣天气影响，重大接待任务，重大节假日或活动等特殊情况制定的应急处置方案，传达机制一般、人员和设备调配和责任分工较差的，得1分； （5）没有提供不得分。</w:t>
            </w:r>
          </w:p>
        </w:tc>
      </w:tr>
      <w:tr>
        <w:tc>
          <w:tcPr>
            <w:tcW w:type="dxa" w:w="922"/>
            <w:gridSpan w:val="2"/>
            <w:vMerge/>
          </w:tcPr>
          <w:p/>
        </w:tc>
        <w:tc>
          <w:tcPr>
            <w:tcW w:type="dxa" w:w="2307"/>
          </w:tcPr>
          <w:p>
            <w:pPr>
              <w:jc w:val="left"/>
            </w:pPr>
            <w:r>
              <w:rPr/>
              <w:t>服务承诺及其保障措施 (10.0分)</w:t>
            </w:r>
            <w:r>
              <w:rPr/>
              <w:t>，（等次分值选择：</w:t>
            </w:r>
            <w:r>
              <w:rPr/>
              <w:t>0.0;</w:t>
            </w:r>
            <w:r>
              <w:rPr/>
              <w:t>1.0;</w:t>
            </w:r>
            <w:r>
              <w:rPr/>
              <w:t>3.0;</w:t>
            </w:r>
            <w:r>
              <w:rPr/>
              <w:t>6.0;</w:t>
            </w:r>
            <w:r>
              <w:rPr/>
              <w:t>10.0;</w:t>
            </w:r>
            <w:r>
              <w:rPr/>
              <w:t>）</w:t>
            </w:r>
          </w:p>
        </w:tc>
        <w:tc>
          <w:tcPr>
            <w:tcW w:type="dxa" w:w="5076"/>
          </w:tcPr>
          <w:p>
            <w:pPr>
              <w:jc w:val="left"/>
            </w:pPr>
            <w:r>
              <w:rPr/>
              <w:t>就各供应商对项目养护的服务承诺以及为达到此承诺，各供应商对应的保障措施进行评审。 （1）供应商服务承诺及质量保证措施优于采购需求，可行性和有效性强的，方案全面完善，得10分； （2）供应商服务承诺及质量保证措施满足采购需求，可行性和有效性较强的，方案合理，得6分； （3）供应商服务承诺及质量保证措施满足采购需求，可行性和有效性一般的，方案一般，得3分； （4）供应商服务承诺及质量保证措施满足采购需求，可行性和有效性差或方案差，得1分； （5）无提供方案不得分。</w:t>
            </w:r>
          </w:p>
        </w:tc>
      </w:tr>
      <w:tr>
        <w:tc>
          <w:tcPr>
            <w:tcW w:type="dxa" w:w="922"/>
            <w:gridSpan w:val="2"/>
            <w:vMerge w:val="restart"/>
          </w:tcPr>
          <w:p>
            <w:pPr>
              <w:jc w:val="center"/>
            </w:pPr>
            <w:r>
              <w:rPr/>
              <w:t>商务部分</w:t>
            </w:r>
          </w:p>
        </w:tc>
        <w:tc>
          <w:tcPr>
            <w:tcW w:type="dxa" w:w="2307"/>
          </w:tcPr>
          <w:p>
            <w:pPr>
              <w:jc w:val="left"/>
            </w:pPr>
            <w:r>
              <w:rPr/>
              <w:t>业绩 (20.0分)</w:t>
            </w:r>
            <w:r>
              <w:rPr/>
              <w:t>，（等次分值选择：</w:t>
            </w:r>
            <w:r>
              <w:rPr/>
              <w:t>0.0;</w:t>
            </w:r>
            <w:r>
              <w:rPr/>
              <w:t>10.0;</w:t>
            </w:r>
            <w:r>
              <w:rPr/>
              <w:t>20.0;</w:t>
            </w:r>
            <w:r>
              <w:rPr/>
              <w:t>）</w:t>
            </w:r>
          </w:p>
        </w:tc>
        <w:tc>
          <w:tcPr>
            <w:tcW w:type="dxa" w:w="5076"/>
          </w:tcPr>
          <w:p>
            <w:pPr>
              <w:jc w:val="left"/>
            </w:pPr>
            <w:r>
              <w:rPr/>
              <w:t>2020年1月1日以来承接同类项目业绩（公路养护项目），每个合同得10分，最高得20分。（必须提供中标/成交通知及合同复印件加盖公章，日期以合同签订日期为准）</w:t>
            </w:r>
          </w:p>
        </w:tc>
      </w:tr>
      <w:tr>
        <w:tc>
          <w:tcPr>
            <w:tcW w:type="dxa" w:w="922"/>
            <w:gridSpan w:val="2"/>
            <w:vMerge/>
          </w:tcPr>
          <w:p/>
        </w:tc>
        <w:tc>
          <w:tcPr>
            <w:tcW w:type="dxa" w:w="2307"/>
          </w:tcPr>
          <w:p>
            <w:pPr>
              <w:jc w:val="left"/>
            </w:pPr>
            <w:r>
              <w:rPr/>
              <w:t>服务响应承诺 (10.0分)</w:t>
            </w:r>
            <w:r>
              <w:rPr/>
              <w:t>，（等次分值选择：</w:t>
            </w:r>
            <w:r>
              <w:rPr/>
              <w:t>0.0;</w:t>
            </w:r>
            <w:r>
              <w:rPr/>
              <w:t>2.0;</w:t>
            </w:r>
            <w:r>
              <w:rPr/>
              <w:t>6.0;</w:t>
            </w:r>
            <w:r>
              <w:rPr/>
              <w:t>10.0;</w:t>
            </w:r>
            <w:r>
              <w:rPr/>
              <w:t>）</w:t>
            </w:r>
          </w:p>
        </w:tc>
        <w:tc>
          <w:tcPr>
            <w:tcW w:type="dxa" w:w="5076"/>
          </w:tcPr>
          <w:p>
            <w:pPr>
              <w:jc w:val="left"/>
            </w:pPr>
            <w:r>
              <w:rPr/>
              <w:t>（1）供应商承诺接到采购人通知后30分钟内(含)到达采购人指定地点的，得10分； （2）供应商承诺接到采购人通知后30分钟（不含）-60分钟(含)内到达采购人指定地点的，得6分； （3）供应商承诺接到采购人通知后60分钟（不含）-90分钟（含）到达采购人指定地点的，得2分；（4）不提供承诺不得分。 （须提供服务响应承诺书，并加盖供应商公章）</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p>
    <w:p>
      <w:pPr>
        <w:ind w:firstLine="456"/>
        <w:jc w:val="center"/>
      </w:pPr>
      <w:r>
        <w:rPr>
          <w:b/>
          <w:sz w:val="52"/>
        </w:rPr>
        <w:t>汕头市澄海区地方公路管养中心</w:t>
      </w:r>
    </w:p>
    <w:p>
      <w:pPr>
        <w:ind w:firstLine="456"/>
        <w:jc w:val="center"/>
      </w:pPr>
      <w:r>
        <w:rPr>
          <w:b/>
          <w:sz w:val="52"/>
        </w:rPr>
        <w:t>公路日常养护服务市场化项目</w:t>
      </w:r>
    </w:p>
    <w:p>
      <w:pPr>
        <w:jc w:val="both"/>
      </w:pPr>
    </w:p>
    <w:p/>
    <w:p>
      <w:pPr>
        <w:ind w:firstLine="456"/>
        <w:jc w:val="center"/>
      </w:pPr>
      <w:r>
        <w:rPr>
          <w:b/>
          <w:sz w:val="52"/>
        </w:rPr>
        <w:t>服</w:t>
      </w:r>
    </w:p>
    <w:p>
      <w:pPr>
        <w:ind w:firstLine="456"/>
        <w:jc w:val="center"/>
      </w:pPr>
      <w:r>
        <w:rPr>
          <w:b/>
          <w:sz w:val="52"/>
        </w:rPr>
        <w:t>务</w:t>
      </w:r>
    </w:p>
    <w:p>
      <w:pPr>
        <w:ind w:firstLine="456"/>
        <w:jc w:val="center"/>
      </w:pPr>
      <w:r>
        <w:rPr>
          <w:b/>
          <w:sz w:val="52"/>
        </w:rPr>
        <w:t>合</w:t>
      </w:r>
    </w:p>
    <w:p>
      <w:pPr>
        <w:ind w:firstLine="456"/>
        <w:jc w:val="center"/>
      </w:pPr>
      <w:r>
        <w:rPr>
          <w:b/>
          <w:sz w:val="52"/>
        </w:rPr>
        <w:t>同</w:t>
      </w:r>
    </w:p>
    <w:p>
      <w:pPr>
        <w:ind w:firstLine="456"/>
        <w:jc w:val="center"/>
      </w:pPr>
    </w:p>
    <w:p/>
    <w:p/>
    <w:p>
      <w:pPr>
        <w:ind w:firstLine="720"/>
        <w:jc w:val="both"/>
      </w:pPr>
      <w:r>
        <w:rPr>
          <w:sz w:val="28"/>
        </w:rPr>
        <w:t>甲方：</w:t>
      </w:r>
      <w:r>
        <w:rPr>
          <w:sz w:val="21"/>
          <w:u w:val="single"/>
        </w:rPr>
        <w:t xml:space="preserve">                                           </w:t>
      </w:r>
      <w:r>
        <w:rPr>
          <w:sz w:val="21"/>
          <w:u w:val="single"/>
        </w:rPr>
        <w:t xml:space="preserve"> </w:t>
      </w:r>
      <w:r>
        <w:rPr>
          <w:sz w:val="21"/>
          <w:u w:val="single"/>
        </w:rPr>
        <w:t xml:space="preserve">  </w:t>
      </w:r>
      <w:r>
        <w:rPr>
          <w:sz w:val="21"/>
          <w:u w:val="single"/>
        </w:rPr>
        <w:t xml:space="preserve">  </w:t>
      </w:r>
    </w:p>
    <w:p>
      <w:pPr>
        <w:ind w:firstLine="720"/>
        <w:jc w:val="both"/>
      </w:pPr>
      <w:r>
        <w:rPr>
          <w:sz w:val="28"/>
        </w:rPr>
        <w:t>乙方：</w:t>
      </w:r>
      <w:r>
        <w:rPr>
          <w:sz w:val="21"/>
          <w:u w:val="single"/>
        </w:rPr>
        <w:t xml:space="preserve">                                            </w:t>
      </w:r>
      <w:r>
        <w:rPr>
          <w:sz w:val="21"/>
          <w:u w:val="single"/>
        </w:rPr>
        <w:t xml:space="preserve">    </w:t>
      </w:r>
      <w:r>
        <w:rPr>
          <w:sz w:val="21"/>
          <w:u w:val="single"/>
        </w:rPr>
        <w:t xml:space="preserve"> </w:t>
      </w:r>
    </w:p>
    <w:p>
      <w:pPr>
        <w:ind w:firstLine="720"/>
        <w:jc w:val="both"/>
      </w:pPr>
      <w:r>
        <w:rPr>
          <w:sz w:val="28"/>
        </w:rPr>
        <w:t>签订地点：</w:t>
      </w:r>
      <w:r>
        <w:rPr>
          <w:sz w:val="21"/>
          <w:u w:val="single"/>
        </w:rPr>
        <w:t xml:space="preserve">                                                </w:t>
      </w:r>
    </w:p>
    <w:p>
      <w:pPr>
        <w:ind w:firstLine="720"/>
        <w:jc w:val="both"/>
      </w:pPr>
      <w:r>
        <w:rPr>
          <w:sz w:val="28"/>
        </w:rPr>
        <w:t>签订日期：</w:t>
      </w:r>
      <w:r>
        <w:rPr>
          <w:sz w:val="21"/>
          <w:u w:val="single"/>
        </w:rPr>
        <w:t xml:space="preserve">                                                </w:t>
      </w:r>
    </w:p>
    <w:p>
      <w:pPr>
        <w:jc w:val="both"/>
      </w:pPr>
    </w:p>
    <w:p>
      <w:pPr>
        <w:jc w:val="both"/>
      </w:pPr>
    </w:p>
    <w:p>
      <w:r>
        <w:rPr>
          <w:b/>
          <w:sz w:val="24"/>
        </w:rPr>
        <w:t>甲方：</w:t>
      </w:r>
    </w:p>
    <w:p>
      <w:r>
        <w:rPr/>
        <w:t xml:space="preserve"> </w:t>
      </w:r>
    </w:p>
    <w:p>
      <w:pPr>
        <w:jc w:val="both"/>
      </w:pPr>
      <w:r>
        <w:rPr>
          <w:b/>
          <w:sz w:val="24"/>
        </w:rPr>
        <w:t>地址：</w:t>
      </w:r>
      <w:r>
        <w:rPr>
          <w:b/>
          <w:sz w:val="21"/>
        </w:rPr>
        <w:t xml:space="preserve">                </w:t>
      </w:r>
      <w:r>
        <w:rPr>
          <w:b/>
          <w:sz w:val="24"/>
        </w:rPr>
        <w:t>电话：</w:t>
      </w:r>
    </w:p>
    <w:p>
      <w:pPr>
        <w:jc w:val="both"/>
      </w:pPr>
      <w:r>
        <w:rPr>
          <w:b/>
          <w:sz w:val="24"/>
        </w:rPr>
        <w:t>乙方：</w:t>
      </w:r>
    </w:p>
    <w:p>
      <w:pPr>
        <w:jc w:val="both"/>
      </w:pPr>
      <w:r>
        <w:rPr>
          <w:b/>
          <w:sz w:val="24"/>
        </w:rPr>
        <w:t>地址：</w:t>
      </w:r>
      <w:r>
        <w:rPr>
          <w:b/>
          <w:sz w:val="21"/>
        </w:rPr>
        <w:t xml:space="preserve">                </w:t>
      </w:r>
      <w:r>
        <w:rPr>
          <w:b/>
          <w:sz w:val="24"/>
        </w:rPr>
        <w:t>电话：</w:t>
      </w:r>
    </w:p>
    <w:p>
      <w:pPr>
        <w:ind w:firstLine="480"/>
        <w:jc w:val="both"/>
      </w:pPr>
      <w:r>
        <w:rPr>
          <w:sz w:val="24"/>
        </w:rPr>
        <w:t>根据</w:t>
      </w:r>
      <w:r>
        <w:rPr>
          <w:sz w:val="24"/>
        </w:rPr>
        <w:t>“汕头市澄海区地方公路管养中心公路日常养护服务市场化项目（采购项目计划备案编号：</w:t>
      </w:r>
      <w:r>
        <w:rPr>
          <w:sz w:val="24"/>
        </w:rPr>
        <w:t>440515-2023-01647</w:t>
      </w:r>
      <w:r>
        <w:rPr>
          <w:sz w:val="24"/>
        </w:rPr>
        <w:t>）</w:t>
      </w:r>
      <w:r>
        <w:rPr>
          <w:sz w:val="24"/>
        </w:rPr>
        <w:t>”</w:t>
      </w:r>
      <w:r>
        <w:rPr>
          <w:sz w:val="24"/>
        </w:rPr>
        <w:t>的</w:t>
      </w:r>
      <w:r>
        <w:rPr>
          <w:sz w:val="24"/>
        </w:rPr>
        <w:t>采购结果，按照《中华人民共和国政府采购法》、《民法典》的规定，经双方协商，本着平等互利和诚实信用的原则，一致同意签订本合同如下</w:t>
      </w:r>
      <w:r>
        <w:rPr>
          <w:sz w:val="24"/>
        </w:rPr>
        <w:t>。</w:t>
      </w:r>
    </w:p>
    <w:p>
      <w:pPr>
        <w:ind w:firstLine="482"/>
        <w:jc w:val="both"/>
      </w:pPr>
      <w:r>
        <w:rPr>
          <w:b/>
          <w:sz w:val="24"/>
        </w:rPr>
        <w:t>第一条：</w:t>
      </w:r>
      <w:r>
        <w:rPr>
          <w:b/>
          <w:sz w:val="24"/>
        </w:rPr>
        <w:t>项目</w:t>
      </w:r>
      <w:r>
        <w:rPr>
          <w:b/>
          <w:sz w:val="24"/>
        </w:rPr>
        <w:t>名称</w:t>
      </w:r>
    </w:p>
    <w:p>
      <w:pPr>
        <w:ind w:firstLine="480"/>
        <w:jc w:val="both"/>
      </w:pPr>
      <w:r>
        <w:rPr>
          <w:sz w:val="24"/>
        </w:rPr>
        <w:t>汕头市澄海区地方公路管养中心公路日常养护服务市场化项目</w:t>
      </w:r>
    </w:p>
    <w:p>
      <w:pPr>
        <w:ind w:firstLine="482"/>
        <w:jc w:val="both"/>
      </w:pPr>
      <w:r>
        <w:rPr>
          <w:b/>
          <w:sz w:val="24"/>
        </w:rPr>
        <w:t>第二条：承包内容</w:t>
      </w:r>
    </w:p>
    <w:p>
      <w:pPr>
        <w:numPr>
          <w:ilvl w:val="0"/>
          <w:numId w:val="1"/>
        </w:numPr>
        <w:jc w:val="both"/>
      </w:pPr>
      <w:r>
        <w:rPr>
          <w:sz w:val="24"/>
        </w:rPr>
        <w:t>服务范围及实施内容：</w:t>
      </w:r>
    </w:p>
    <w:p>
      <w:pPr>
        <w:ind w:firstLine="480"/>
        <w:jc w:val="both"/>
      </w:pPr>
      <w:r>
        <w:rPr>
          <w:sz w:val="24"/>
        </w:rPr>
        <w:t>（</w:t>
      </w:r>
      <w:r>
        <w:rPr>
          <w:sz w:val="24"/>
        </w:rPr>
        <w:t>1</w:t>
      </w:r>
      <w:r>
        <w:rPr>
          <w:sz w:val="24"/>
        </w:rPr>
        <w:t>）服务实施线路及里程：</w:t>
      </w:r>
    </w:p>
    <w:p>
      <w:pPr>
        <w:ind w:firstLine="480"/>
        <w:jc w:val="both"/>
      </w:pPr>
      <w:r>
        <w:rPr>
          <w:sz w:val="24"/>
        </w:rPr>
        <w:t>1）金鸿公路，共22.678公里</w:t>
      </w:r>
    </w:p>
    <w:p>
      <w:pPr>
        <w:ind w:firstLine="480"/>
        <w:jc w:val="both"/>
      </w:pPr>
      <w:r>
        <w:rPr>
          <w:sz w:val="24"/>
        </w:rPr>
        <w:t>（金洲大桥</w:t>
      </w:r>
      <w:r>
        <w:rPr>
          <w:sz w:val="24"/>
        </w:rPr>
        <w:t>-G324平交口）</w:t>
      </w:r>
    </w:p>
    <w:p>
      <w:pPr>
        <w:ind w:firstLine="480"/>
        <w:jc w:val="both"/>
      </w:pPr>
      <w:r>
        <w:rPr>
          <w:sz w:val="24"/>
        </w:rPr>
        <w:t>2）地养省道，共37.106公里</w:t>
      </w:r>
    </w:p>
    <w:p>
      <w:pPr>
        <w:ind w:firstLine="480"/>
        <w:jc w:val="both"/>
      </w:pPr>
      <w:r>
        <w:rPr>
          <w:sz w:val="24"/>
        </w:rPr>
        <w:t>①S503钱东-龙湖（莲花山潮州市交界处至G324平交口），共5.821公里，（K2+570-K8+391）</w:t>
      </w:r>
    </w:p>
    <w:p>
      <w:pPr>
        <w:ind w:firstLine="480"/>
        <w:jc w:val="both"/>
      </w:pPr>
      <w:r>
        <w:rPr>
          <w:sz w:val="24"/>
        </w:rPr>
        <w:t>②S504枫溪-海山，共24.161公里</w:t>
      </w:r>
    </w:p>
    <w:p>
      <w:pPr>
        <w:ind w:firstLine="480"/>
        <w:jc w:val="both"/>
      </w:pPr>
      <w:r>
        <w:rPr>
          <w:sz w:val="24"/>
        </w:rPr>
        <w:t>（</w:t>
      </w:r>
      <w:r>
        <w:rPr>
          <w:sz w:val="24"/>
        </w:rPr>
        <w:t>K19+089-K20+612、K21+877-K29+573、K29+838-K37+340、K42+836-K50+276）</w:t>
      </w:r>
    </w:p>
    <w:p>
      <w:pPr>
        <w:ind w:firstLine="480"/>
        <w:jc w:val="both"/>
      </w:pPr>
      <w:r>
        <w:rPr>
          <w:sz w:val="24"/>
        </w:rPr>
        <w:t>③S505榕城-澄海，共7.124公里</w:t>
      </w:r>
    </w:p>
    <w:p>
      <w:pPr>
        <w:ind w:firstLine="480"/>
        <w:jc w:val="both"/>
      </w:pPr>
      <w:r>
        <w:rPr>
          <w:sz w:val="24"/>
        </w:rPr>
        <w:t>（</w:t>
      </w:r>
      <w:r>
        <w:rPr>
          <w:sz w:val="24"/>
        </w:rPr>
        <w:t>K46+466-K53+590）</w:t>
      </w:r>
    </w:p>
    <w:p>
      <w:pPr>
        <w:ind w:firstLine="480"/>
        <w:jc w:val="both"/>
      </w:pPr>
      <w:r>
        <w:rPr>
          <w:sz w:val="24"/>
        </w:rPr>
        <w:t>3）</w:t>
      </w:r>
      <w:r>
        <w:rPr>
          <w:sz w:val="24"/>
        </w:rPr>
        <w:t>县道，共</w:t>
      </w:r>
      <w:r>
        <w:rPr>
          <w:sz w:val="24"/>
        </w:rPr>
        <w:t>86.165公里</w:t>
      </w:r>
    </w:p>
    <w:p>
      <w:pPr>
        <w:ind w:firstLine="480"/>
        <w:jc w:val="both"/>
      </w:pPr>
      <w:r>
        <w:rPr>
          <w:sz w:val="24"/>
        </w:rPr>
        <w:t>①X051澄上线，共8.406公里</w:t>
      </w:r>
    </w:p>
    <w:p>
      <w:pPr>
        <w:ind w:firstLine="480"/>
        <w:jc w:val="both"/>
      </w:pPr>
      <w:r>
        <w:rPr>
          <w:sz w:val="24"/>
        </w:rPr>
        <w:t>(K0+000-K8+406）</w:t>
      </w:r>
    </w:p>
    <w:p>
      <w:pPr>
        <w:ind w:firstLine="480"/>
        <w:jc w:val="both"/>
      </w:pPr>
      <w:r>
        <w:rPr>
          <w:sz w:val="24"/>
        </w:rPr>
        <w:t>②X055官塘-南畔洲，共12.348公里</w:t>
      </w:r>
    </w:p>
    <w:p>
      <w:pPr>
        <w:ind w:firstLine="480"/>
        <w:jc w:val="both"/>
      </w:pPr>
      <w:r>
        <w:rPr>
          <w:sz w:val="24"/>
        </w:rPr>
        <w:t>（</w:t>
      </w:r>
      <w:r>
        <w:rPr>
          <w:sz w:val="24"/>
        </w:rPr>
        <w:t>K7+218-K12+797、K13+728-K18+303、K18+865-K21+059）</w:t>
      </w:r>
    </w:p>
    <w:p>
      <w:pPr>
        <w:ind w:firstLine="480"/>
        <w:jc w:val="both"/>
      </w:pPr>
      <w:r>
        <w:rPr>
          <w:sz w:val="24"/>
        </w:rPr>
        <w:t>③X067金樟线，共3.716公里</w:t>
      </w:r>
    </w:p>
    <w:p>
      <w:pPr>
        <w:ind w:firstLine="480"/>
        <w:jc w:val="both"/>
      </w:pPr>
      <w:r>
        <w:rPr>
          <w:sz w:val="24"/>
        </w:rPr>
        <w:t>（</w:t>
      </w:r>
      <w:r>
        <w:rPr>
          <w:sz w:val="24"/>
        </w:rPr>
        <w:t>K0+000-K3+716）</w:t>
      </w:r>
    </w:p>
    <w:p>
      <w:pPr>
        <w:ind w:firstLine="480"/>
        <w:jc w:val="both"/>
      </w:pPr>
      <w:r>
        <w:rPr>
          <w:sz w:val="24"/>
        </w:rPr>
        <w:t>④X068樟莲线，共16.93公里</w:t>
      </w:r>
    </w:p>
    <w:p>
      <w:pPr>
        <w:ind w:firstLine="480"/>
        <w:jc w:val="both"/>
      </w:pPr>
      <w:r>
        <w:rPr>
          <w:sz w:val="24"/>
        </w:rPr>
        <w:t>（</w:t>
      </w:r>
      <w:r>
        <w:rPr>
          <w:sz w:val="24"/>
        </w:rPr>
        <w:t>K0+000-K7+445、K7+986-K12+146、K12+852-K18+177）</w:t>
      </w:r>
    </w:p>
    <w:p>
      <w:pPr>
        <w:ind w:firstLine="480"/>
        <w:jc w:val="both"/>
      </w:pPr>
      <w:r>
        <w:rPr>
          <w:sz w:val="24"/>
        </w:rPr>
        <w:t>⑤X069莲溪线，共8.736公里</w:t>
      </w:r>
    </w:p>
    <w:p>
      <w:pPr>
        <w:ind w:firstLine="480"/>
        <w:jc w:val="both"/>
      </w:pPr>
      <w:r>
        <w:rPr>
          <w:sz w:val="24"/>
        </w:rPr>
        <w:t>（</w:t>
      </w:r>
      <w:r>
        <w:rPr>
          <w:sz w:val="24"/>
        </w:rPr>
        <w:t>K0+000-K8+736）</w:t>
      </w:r>
    </w:p>
    <w:p>
      <w:pPr>
        <w:ind w:firstLine="480"/>
        <w:jc w:val="both"/>
      </w:pPr>
      <w:r>
        <w:rPr>
          <w:sz w:val="24"/>
        </w:rPr>
        <w:t>⑥X070澄海西部通道，共3.319公里</w:t>
      </w:r>
    </w:p>
    <w:p>
      <w:pPr>
        <w:ind w:firstLine="480"/>
        <w:jc w:val="both"/>
      </w:pPr>
      <w:r>
        <w:rPr>
          <w:sz w:val="24"/>
        </w:rPr>
        <w:t>（</w:t>
      </w:r>
      <w:r>
        <w:rPr>
          <w:sz w:val="24"/>
        </w:rPr>
        <w:t>K0+149-K3+468）</w:t>
      </w:r>
    </w:p>
    <w:p>
      <w:pPr>
        <w:ind w:firstLine="480"/>
        <w:jc w:val="both"/>
      </w:pPr>
      <w:r>
        <w:rPr>
          <w:sz w:val="24"/>
        </w:rPr>
        <w:t>⑦X800金狮路，共6.061公里</w:t>
      </w:r>
    </w:p>
    <w:p>
      <w:pPr>
        <w:ind w:firstLine="480"/>
        <w:jc w:val="both"/>
      </w:pPr>
      <w:r>
        <w:rPr>
          <w:sz w:val="24"/>
        </w:rPr>
        <w:t>（</w:t>
      </w:r>
      <w:r>
        <w:rPr>
          <w:sz w:val="24"/>
        </w:rPr>
        <w:t>K1+363-K13+058）</w:t>
      </w:r>
    </w:p>
    <w:p>
      <w:pPr>
        <w:ind w:firstLine="480"/>
        <w:jc w:val="both"/>
      </w:pPr>
      <w:r>
        <w:rPr>
          <w:sz w:val="24"/>
        </w:rPr>
        <w:t>⑧X801上合线，共7.508公里</w:t>
      </w:r>
    </w:p>
    <w:p>
      <w:pPr>
        <w:ind w:firstLine="480"/>
        <w:jc w:val="both"/>
      </w:pPr>
      <w:r>
        <w:rPr>
          <w:sz w:val="24"/>
        </w:rPr>
        <w:t>（</w:t>
      </w:r>
      <w:r>
        <w:rPr>
          <w:sz w:val="24"/>
        </w:rPr>
        <w:t>K0+000-K7+508）</w:t>
      </w:r>
    </w:p>
    <w:p>
      <w:pPr>
        <w:ind w:firstLine="480"/>
        <w:jc w:val="both"/>
      </w:pPr>
      <w:r>
        <w:rPr>
          <w:sz w:val="24"/>
        </w:rPr>
        <w:t>⑨X802澄海连接线，共7.829公里</w:t>
      </w:r>
    </w:p>
    <w:p>
      <w:pPr>
        <w:ind w:firstLine="480"/>
        <w:jc w:val="both"/>
      </w:pPr>
      <w:r>
        <w:rPr>
          <w:sz w:val="24"/>
        </w:rPr>
        <w:t>（</w:t>
      </w:r>
      <w:r>
        <w:rPr>
          <w:sz w:val="24"/>
        </w:rPr>
        <w:t>K0+000+K7+829）</w:t>
      </w:r>
    </w:p>
    <w:p>
      <w:pPr>
        <w:ind w:firstLine="480"/>
        <w:jc w:val="both"/>
      </w:pPr>
      <w:r>
        <w:rPr>
          <w:sz w:val="24"/>
        </w:rPr>
        <w:t>⑩X803莲福线，共11.312公里</w:t>
      </w:r>
    </w:p>
    <w:p>
      <w:pPr>
        <w:ind w:firstLine="480"/>
        <w:jc w:val="both"/>
      </w:pPr>
      <w:r>
        <w:rPr>
          <w:sz w:val="24"/>
        </w:rPr>
        <w:t>（</w:t>
      </w:r>
      <w:r>
        <w:rPr>
          <w:sz w:val="24"/>
        </w:rPr>
        <w:t>K0+000-K11+312）</w:t>
      </w:r>
    </w:p>
    <w:p>
      <w:pPr>
        <w:ind w:firstLine="480"/>
        <w:jc w:val="both"/>
      </w:pPr>
      <w:r>
        <w:rPr>
          <w:sz w:val="24"/>
        </w:rPr>
        <w:t>（</w:t>
      </w:r>
      <w:r>
        <w:rPr>
          <w:sz w:val="24"/>
        </w:rPr>
        <w:t>2</w:t>
      </w:r>
      <w:r>
        <w:rPr>
          <w:sz w:val="24"/>
        </w:rPr>
        <w:t>）日常养护服务内容</w:t>
      </w:r>
    </w:p>
    <w:p>
      <w:pPr>
        <w:ind w:firstLine="480"/>
        <w:jc w:val="both"/>
      </w:pPr>
      <w:r>
        <w:rPr>
          <w:sz w:val="24"/>
        </w:rPr>
        <w:t>1）公路日常巡查；</w:t>
      </w:r>
    </w:p>
    <w:p>
      <w:pPr>
        <w:ind w:firstLine="480"/>
        <w:jc w:val="both"/>
      </w:pPr>
      <w:r>
        <w:rPr>
          <w:sz w:val="24"/>
        </w:rPr>
        <w:t>2）公路日常保养；</w:t>
      </w:r>
    </w:p>
    <w:p>
      <w:pPr>
        <w:ind w:firstLine="480"/>
        <w:jc w:val="both"/>
      </w:pPr>
      <w:r>
        <w:rPr>
          <w:sz w:val="24"/>
        </w:rPr>
        <w:t>3）日常路面病害防治及路面坑槽修补（不含材料）；</w:t>
      </w:r>
    </w:p>
    <w:p>
      <w:pPr>
        <w:ind w:firstLine="480"/>
        <w:jc w:val="both"/>
      </w:pPr>
      <w:r>
        <w:rPr>
          <w:sz w:val="24"/>
        </w:rPr>
        <w:t>4）排水设施维护；</w:t>
      </w:r>
    </w:p>
    <w:p>
      <w:pPr>
        <w:ind w:firstLine="480"/>
        <w:jc w:val="both"/>
      </w:pPr>
      <w:r>
        <w:rPr>
          <w:sz w:val="24"/>
        </w:rPr>
        <w:t>5）恶劣天气应急处置、抢险、抢修、保通。</w:t>
      </w:r>
    </w:p>
    <w:p>
      <w:pPr>
        <w:ind w:firstLine="480"/>
        <w:jc w:val="both"/>
      </w:pPr>
      <w:r>
        <w:rPr>
          <w:sz w:val="24"/>
        </w:rPr>
        <w:t>2、管理内容：</w:t>
      </w:r>
    </w:p>
    <w:p>
      <w:pPr>
        <w:ind w:firstLine="480"/>
        <w:jc w:val="both"/>
      </w:pPr>
      <w:r>
        <w:rPr>
          <w:sz w:val="24"/>
        </w:rPr>
        <w:t>（</w:t>
      </w:r>
      <w:r>
        <w:rPr>
          <w:sz w:val="24"/>
        </w:rPr>
        <w:t>1</w:t>
      </w:r>
      <w:r>
        <w:rPr>
          <w:sz w:val="24"/>
        </w:rPr>
        <w:t>）对合同约定范围内公路日常巡查、日常路面病害防治及路面坑槽修补（不含材料）、排水设施维护、恶劣天气应急处置、抢险、抢修、保通、相关公路附属设施应经常检查，存在受损等情况的，应及时组织修复、清通，情况严重的应做出修复方案并经甲方批准予以处理。</w:t>
      </w:r>
    </w:p>
    <w:p>
      <w:pPr>
        <w:ind w:firstLine="480"/>
        <w:jc w:val="both"/>
      </w:pPr>
      <w:r>
        <w:rPr>
          <w:sz w:val="24"/>
        </w:rPr>
        <w:t>（</w:t>
      </w:r>
      <w:r>
        <w:rPr>
          <w:sz w:val="24"/>
        </w:rPr>
        <w:t>2</w:t>
      </w:r>
      <w:r>
        <w:rPr>
          <w:sz w:val="24"/>
        </w:rPr>
        <w:t>）要经常组织下水道的清通维护工作，保持排水系统处于良好状态，发现路面非正常严重积水的，要及时上报，并及时制订维护方案予以处理，直至问题解决。</w:t>
      </w:r>
    </w:p>
    <w:p>
      <w:pPr>
        <w:ind w:firstLine="480"/>
        <w:jc w:val="both"/>
      </w:pPr>
      <w:r>
        <w:rPr>
          <w:sz w:val="24"/>
        </w:rPr>
        <w:t>（</w:t>
      </w:r>
      <w:r>
        <w:rPr>
          <w:sz w:val="24"/>
        </w:rPr>
        <w:t>3</w:t>
      </w:r>
      <w:r>
        <w:rPr>
          <w:sz w:val="24"/>
        </w:rPr>
        <w:t>）确保道路、桥涵等公路基础设施的干净、使用性能、安全性能及外观完整美观。保障道路行车安全、舒适、畅通，人行道行人通行无阻。对不能及时修复的受损设施，应做好安全防护措施及安全标志。对检查发现或群众反映的公路设施受损情况如井盖破损或被盗等情况，应及时处理，尽可能当天修复。</w:t>
      </w:r>
    </w:p>
    <w:p>
      <w:pPr>
        <w:ind w:firstLine="482"/>
        <w:jc w:val="both"/>
      </w:pPr>
      <w:r>
        <w:rPr>
          <w:b/>
          <w:sz w:val="24"/>
        </w:rPr>
        <w:t>第三条：承包期限</w:t>
      </w:r>
      <w:r>
        <w:rPr>
          <w:b/>
          <w:sz w:val="24"/>
        </w:rPr>
        <w:t>（一签多年）</w:t>
      </w:r>
    </w:p>
    <w:p>
      <w:pPr>
        <w:ind w:firstLine="480"/>
        <w:jc w:val="both"/>
      </w:pPr>
      <w:r>
        <w:rPr>
          <w:sz w:val="24"/>
        </w:rPr>
        <w:t>本合同承包期限</w:t>
      </w:r>
      <w:r>
        <w:rPr>
          <w:sz w:val="24"/>
        </w:rPr>
        <w:t>3年</w:t>
      </w:r>
      <w:r>
        <w:rPr>
          <w:sz w:val="24"/>
        </w:rPr>
        <w:t>，本次为第</w:t>
      </w:r>
      <w:r>
        <w:rPr>
          <w:sz w:val="24"/>
          <w:u w:val="single"/>
        </w:rPr>
        <w:t xml:space="preserve"> </w:t>
      </w:r>
      <w:r>
        <w:rPr>
          <w:sz w:val="24"/>
          <w:u w:val="single"/>
        </w:rPr>
        <w:t>1</w:t>
      </w:r>
      <w:r>
        <w:rPr>
          <w:sz w:val="24"/>
        </w:rPr>
        <w:t>年，</w:t>
      </w:r>
      <w:r>
        <w:rPr>
          <w:sz w:val="24"/>
        </w:rPr>
        <w:t>自</w:t>
      </w:r>
      <w:r>
        <w:rPr>
          <w:sz w:val="21"/>
          <w:u w:val="single"/>
        </w:rPr>
        <w:t xml:space="preserve"> </w:t>
      </w:r>
      <w:r>
        <w:rPr>
          <w:sz w:val="21"/>
          <w:u w:val="single"/>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起至</w:t>
      </w:r>
      <w:r>
        <w:rPr>
          <w:sz w:val="21"/>
          <w:u w:val="single"/>
        </w:rPr>
        <w:t xml:space="preserve">  </w:t>
      </w:r>
      <w:r>
        <w:rPr>
          <w:sz w:val="21"/>
          <w:u w:val="single"/>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日止。</w:t>
      </w:r>
    </w:p>
    <w:p>
      <w:pPr>
        <w:ind w:firstLine="482"/>
        <w:jc w:val="both"/>
      </w:pPr>
      <w:r>
        <w:rPr>
          <w:b/>
          <w:sz w:val="24"/>
        </w:rPr>
        <w:t>第四条：承包经费</w:t>
      </w:r>
      <w:r>
        <w:rPr>
          <w:b/>
          <w:sz w:val="24"/>
        </w:rPr>
        <w:t>（合同价款）</w:t>
      </w:r>
    </w:p>
    <w:p>
      <w:pPr>
        <w:ind w:firstLine="480"/>
        <w:jc w:val="both"/>
      </w:pPr>
      <w:r>
        <w:rPr>
          <w:sz w:val="24"/>
        </w:rPr>
        <w:t>每年</w:t>
      </w:r>
      <w:r>
        <w:rPr>
          <w:sz w:val="24"/>
        </w:rPr>
        <w:t>承包</w:t>
      </w:r>
      <w:r>
        <w:rPr>
          <w:sz w:val="24"/>
        </w:rPr>
        <w:t>管理合同总价</w:t>
      </w:r>
      <w:r>
        <w:rPr>
          <w:sz w:val="21"/>
          <w:u w:val="single"/>
        </w:rPr>
        <w:t xml:space="preserve">           </w:t>
      </w:r>
      <w:r>
        <w:rPr>
          <w:sz w:val="24"/>
        </w:rPr>
        <w:t>元</w:t>
      </w:r>
      <w:r>
        <w:rPr>
          <w:sz w:val="24"/>
        </w:rPr>
        <w:t>，</w:t>
      </w:r>
      <w:r>
        <w:rPr>
          <w:sz w:val="24"/>
        </w:rPr>
        <w:t>每月费用</w:t>
      </w:r>
      <w:r>
        <w:rPr>
          <w:sz w:val="21"/>
          <w:u w:val="single"/>
        </w:rPr>
        <w:t xml:space="preserve">         </w:t>
      </w:r>
      <w:r>
        <w:rPr>
          <w:sz w:val="24"/>
        </w:rPr>
        <w:t>元</w:t>
      </w:r>
      <w:r>
        <w:rPr>
          <w:sz w:val="24"/>
        </w:rPr>
        <w:t>。</w:t>
      </w:r>
    </w:p>
    <w:p>
      <w:pPr>
        <w:ind w:firstLine="482"/>
        <w:jc w:val="both"/>
      </w:pPr>
      <w:r>
        <w:rPr>
          <w:b/>
          <w:sz w:val="24"/>
        </w:rPr>
        <w:t>第五条：</w:t>
      </w:r>
      <w:r>
        <w:rPr>
          <w:b/>
          <w:sz w:val="24"/>
        </w:rPr>
        <w:t>养护</w:t>
      </w:r>
      <w:r>
        <w:rPr>
          <w:b/>
          <w:sz w:val="24"/>
        </w:rPr>
        <w:t>工作要求和质量标准</w:t>
      </w:r>
    </w:p>
    <w:p>
      <w:pPr>
        <w:ind w:firstLine="480"/>
        <w:jc w:val="both"/>
      </w:pPr>
      <w:r>
        <w:rPr>
          <w:sz w:val="24"/>
        </w:rPr>
        <w:t>（一）公路设施管理要求</w:t>
      </w:r>
    </w:p>
    <w:p>
      <w:pPr>
        <w:ind w:firstLine="480"/>
        <w:jc w:val="both"/>
      </w:pPr>
      <w:r>
        <w:rPr>
          <w:sz w:val="24"/>
        </w:rPr>
        <w:t>1、</w:t>
      </w:r>
      <w:r>
        <w:rPr>
          <w:sz w:val="24"/>
        </w:rPr>
        <w:t>严格按照《公路养护技术规范》、《公路养护安全作业规程》等公路工程有关规范进行施工管理。</w:t>
      </w:r>
    </w:p>
    <w:p>
      <w:pPr>
        <w:ind w:firstLine="480"/>
        <w:jc w:val="both"/>
      </w:pPr>
      <w:r>
        <w:rPr>
          <w:sz w:val="24"/>
        </w:rPr>
        <w:t>2、</w:t>
      </w:r>
      <w:r>
        <w:rPr>
          <w:sz w:val="24"/>
        </w:rPr>
        <w:t>在养护期间严格执行但不限于《公路养护技术规范》、《公路技术状况评定标准》、《公路水泥混凝土路面养护技术规范》、《公路沥青路面养护技术规范》、《公路养护安全作业规程》、《公路交通标志和标线设置规范》、《道路交通标志和标线》（</w:t>
      </w:r>
      <w:r>
        <w:rPr>
          <w:sz w:val="24"/>
        </w:rPr>
        <w:t>GB5768-2009）、《公路交通安全设施设计细则》等规范的要求，确保各项公路完好，行车畅顺。</w:t>
      </w:r>
    </w:p>
    <w:p>
      <w:pPr>
        <w:ind w:firstLine="480"/>
        <w:jc w:val="both"/>
      </w:pPr>
      <w:r>
        <w:rPr>
          <w:sz w:val="24"/>
        </w:rPr>
        <w:t>3、</w:t>
      </w:r>
      <w:r>
        <w:rPr>
          <w:sz w:val="24"/>
        </w:rPr>
        <w:t>对合同约定范围内公路日常巡查、日常路面病害防治及路面坑槽修补（不含材料）、排水设施维护、恶劣天气应急处置、抢险、抢修、保通、相关公路附属设施应经常检查，存在受损等情况的，应及时组织修复、清通，情况严重的应做出修复方案并经甲方批准予以处理。</w:t>
      </w:r>
    </w:p>
    <w:p>
      <w:pPr>
        <w:ind w:firstLine="480"/>
        <w:jc w:val="both"/>
      </w:pPr>
      <w:r>
        <w:rPr>
          <w:sz w:val="24"/>
        </w:rPr>
        <w:t>4、</w:t>
      </w:r>
      <w:r>
        <w:rPr>
          <w:sz w:val="24"/>
        </w:rPr>
        <w:t>要经常组织下水道的清通维护工作，保持排水系统处于良好状态，发现路面非正常严重积水的，要及时上报，并及时制订维护方案予以处理，直至问题解决</w:t>
      </w:r>
      <w:r>
        <w:rPr>
          <w:sz w:val="24"/>
        </w:rPr>
        <w:t>。</w:t>
      </w:r>
    </w:p>
    <w:p>
      <w:pPr>
        <w:ind w:firstLine="480"/>
        <w:jc w:val="both"/>
      </w:pPr>
      <w:r>
        <w:rPr>
          <w:sz w:val="24"/>
        </w:rPr>
        <w:t>5、</w:t>
      </w:r>
      <w:r>
        <w:rPr>
          <w:sz w:val="24"/>
        </w:rPr>
        <w:t>确保道路、桥涵等公路基础设施的干净、使用性能、安全性能及外观完整美观。保障道路行车安全、舒适、畅通，人行道行人通行无阻。对不能及时修复的受损设施，应做好安全防护措施及安全标志。对检查发现或群众反映的公路设施受损情况如井盖破损或被盗等情况，应及时处理，尽可能当天修复。</w:t>
      </w:r>
    </w:p>
    <w:p>
      <w:pPr>
        <w:ind w:firstLine="480"/>
        <w:jc w:val="both"/>
      </w:pPr>
      <w:r>
        <w:rPr>
          <w:sz w:val="24"/>
        </w:rPr>
        <w:t>6、</w:t>
      </w:r>
      <w:r>
        <w:rPr>
          <w:sz w:val="24"/>
        </w:rPr>
        <w:t>在维修维护施工过程中应做好工作现场安全保护措施，确保作业人员自身安全及过往车辆行人的安全。</w:t>
      </w:r>
    </w:p>
    <w:p>
      <w:pPr>
        <w:ind w:firstLine="480"/>
        <w:jc w:val="both"/>
      </w:pPr>
      <w:r>
        <w:rPr>
          <w:sz w:val="24"/>
        </w:rPr>
        <w:t>7、</w:t>
      </w:r>
      <w:r>
        <w:rPr>
          <w:sz w:val="24"/>
        </w:rPr>
        <w:t>要积极使用新技术、新材料、新设备、新经验，注意科学养护与经济效益相结合。</w:t>
      </w:r>
      <w:r>
        <w:rPr>
          <w:sz w:val="24"/>
        </w:rPr>
        <w:t xml:space="preserve"> </w:t>
      </w:r>
    </w:p>
    <w:p>
      <w:pPr>
        <w:ind w:firstLine="480"/>
        <w:jc w:val="both"/>
      </w:pPr>
      <w:r>
        <w:rPr>
          <w:sz w:val="24"/>
        </w:rPr>
        <w:t>8、</w:t>
      </w:r>
      <w:r>
        <w:rPr>
          <w:sz w:val="24"/>
        </w:rPr>
        <w:t>乙方要合理使用年度养护资金，要勤俭节约，把有限的养护资金用在公路日常维护中。</w:t>
      </w:r>
    </w:p>
    <w:p>
      <w:pPr>
        <w:ind w:firstLine="480"/>
        <w:jc w:val="both"/>
      </w:pPr>
      <w:r>
        <w:rPr>
          <w:sz w:val="24"/>
        </w:rPr>
        <w:t>9、</w:t>
      </w:r>
      <w:r>
        <w:rPr>
          <w:sz w:val="24"/>
        </w:rPr>
        <w:t>服务期限内涉及路面病害防治及路面坑槽修补所需材料，应按时向甲方申请，并做好材料结算的相关工作。</w:t>
      </w:r>
    </w:p>
    <w:p>
      <w:pPr>
        <w:ind w:firstLine="480"/>
        <w:jc w:val="both"/>
      </w:pPr>
      <w:r>
        <w:rPr>
          <w:sz w:val="24"/>
        </w:rPr>
        <w:t>（二）人员配置：配备养护人员（含管理人员）不少于</w:t>
      </w:r>
      <w:r>
        <w:rPr>
          <w:sz w:val="24"/>
        </w:rPr>
        <w:t>15名，负责对养护维护工作的管理。养护人员（含管理人员）应科学管理、分工明确，确保巡查督促到位。</w:t>
      </w:r>
    </w:p>
    <w:p>
      <w:pPr>
        <w:ind w:firstLine="480"/>
        <w:jc w:val="both"/>
      </w:pPr>
      <w:r>
        <w:rPr>
          <w:sz w:val="24"/>
        </w:rPr>
        <w:t>（三）服务期限内涉及养护范围变化或养护职能变更的，由甲方和乙方双方进行协商解决。</w:t>
      </w:r>
    </w:p>
    <w:p>
      <w:pPr>
        <w:ind w:firstLine="480"/>
        <w:jc w:val="both"/>
      </w:pPr>
      <w:r>
        <w:rPr>
          <w:sz w:val="24"/>
        </w:rPr>
        <w:t>（四）乙方必须落实安全生产措施，且应按甲方以及有关部门的要求，配备相关安全警示标志及消防设施，养护作业人员上岗前必须进行安全教育和技术培训，为上岗工人配置统一的工作服和反光袖套，自行解决安全作业问题。在进行养护作业时，现场一定要做好安全防护后才能进场施工，同时乙方必须认真负责，并注意安全操作，如发生任何意外，乙方负责事故处理及一切费用，概与甲方无关。</w:t>
      </w:r>
    </w:p>
    <w:p>
      <w:pPr>
        <w:ind w:firstLine="482"/>
        <w:jc w:val="both"/>
      </w:pPr>
      <w:r>
        <w:rPr>
          <w:b/>
          <w:sz w:val="24"/>
        </w:rPr>
        <w:t>第六条：</w:t>
      </w:r>
      <w:r>
        <w:rPr>
          <w:b/>
          <w:sz w:val="24"/>
        </w:rPr>
        <w:t>管理养护经费的内容</w:t>
      </w:r>
      <w:r>
        <w:rPr>
          <w:b/>
          <w:sz w:val="24"/>
        </w:rPr>
        <w:t>及支付时间</w:t>
      </w:r>
    </w:p>
    <w:p>
      <w:pPr>
        <w:ind w:firstLine="480"/>
        <w:jc w:val="both"/>
      </w:pPr>
      <w:r>
        <w:rPr>
          <w:sz w:val="24"/>
        </w:rPr>
        <w:t>1、</w:t>
      </w:r>
      <w:r>
        <w:rPr>
          <w:sz w:val="24"/>
        </w:rPr>
        <w:t>项目款项支付方式为：每月</w:t>
      </w:r>
      <w:r>
        <w:rPr>
          <w:sz w:val="24"/>
        </w:rPr>
        <w:t>按考核结果</w:t>
      </w:r>
      <w:r>
        <w:rPr>
          <w:sz w:val="24"/>
        </w:rPr>
        <w:t>支付一次。以一个月为检查考核付款单位。</w:t>
      </w:r>
    </w:p>
    <w:p>
      <w:pPr>
        <w:ind w:firstLine="480"/>
        <w:jc w:val="both"/>
      </w:pPr>
      <w:r>
        <w:rPr>
          <w:sz w:val="24"/>
        </w:rPr>
        <w:t>2、</w:t>
      </w:r>
      <w:r>
        <w:rPr>
          <w:sz w:val="24"/>
        </w:rPr>
        <w:t>支付时间：下一个月</w:t>
      </w:r>
      <w:r>
        <w:rPr>
          <w:sz w:val="24"/>
        </w:rPr>
        <w:t>15日前支付前一个月的养护费用。特别约定：鉴于本项目为财政资金，故上述条款约定的支付项目款的前提条件必须视财政资金到位情况，若因财政部门拨付审批时间所造成的支付延误，不作为甲方迟延支付的违约责任。乙方收款应按规定先开具发票。</w:t>
      </w:r>
    </w:p>
    <w:p>
      <w:pPr>
        <w:ind w:firstLine="480"/>
        <w:jc w:val="both"/>
      </w:pPr>
      <w:r>
        <w:rPr>
          <w:sz w:val="24"/>
        </w:rPr>
        <w:t>3、</w:t>
      </w:r>
      <w:r>
        <w:rPr>
          <w:sz w:val="24"/>
        </w:rPr>
        <w:t>检査考核模式：</w:t>
      </w:r>
    </w:p>
    <w:p>
      <w:pPr>
        <w:ind w:firstLine="480"/>
        <w:jc w:val="both"/>
      </w:pPr>
      <w:r>
        <w:rPr>
          <w:sz w:val="24"/>
        </w:rPr>
        <w:t>按照《汕头市澄海区地方公路管养中心公路日常养护服务市场化项目考核办法》（合同附件）进行。各分项得分满分为</w:t>
      </w:r>
      <w:r>
        <w:rPr>
          <w:sz w:val="24"/>
        </w:rPr>
        <w:t>100分，当月各分项平均考核分数在95分以上的，支付当月费用的100％；在</w:t>
      </w:r>
      <w:r>
        <w:rPr>
          <w:sz w:val="24"/>
        </w:rPr>
        <w:t>95分的基础上每减少1分扣2000元</w:t>
      </w:r>
      <w:r>
        <w:rPr>
          <w:sz w:val="24"/>
        </w:rPr>
        <w:t>；存在问题乙方应按照甲方发出的《整改通知书》，及时落实整改；</w:t>
      </w:r>
      <w:r>
        <w:rPr>
          <w:sz w:val="24"/>
        </w:rPr>
        <w:t>一个年度累计三次考核分数低于</w:t>
      </w:r>
      <w:r>
        <w:rPr>
          <w:sz w:val="24"/>
        </w:rPr>
        <w:t>75分的甲方有权终止承包合同，乙方承担由此造成的各项损失</w:t>
      </w:r>
      <w:r>
        <w:rPr>
          <w:sz w:val="24"/>
        </w:rPr>
        <w:t>。</w:t>
      </w:r>
    </w:p>
    <w:p>
      <w:pPr>
        <w:ind w:firstLine="482"/>
        <w:jc w:val="both"/>
      </w:pPr>
      <w:r>
        <w:rPr>
          <w:b/>
          <w:sz w:val="24"/>
        </w:rPr>
        <w:t>第</w:t>
      </w:r>
      <w:r>
        <w:rPr>
          <w:b/>
          <w:sz w:val="24"/>
        </w:rPr>
        <w:t>七</w:t>
      </w:r>
      <w:r>
        <w:rPr>
          <w:b/>
          <w:sz w:val="24"/>
        </w:rPr>
        <w:t>条：权利和义务</w:t>
      </w:r>
    </w:p>
    <w:p>
      <w:pPr>
        <w:ind w:firstLine="480"/>
        <w:jc w:val="both"/>
      </w:pPr>
      <w:r>
        <w:rPr>
          <w:sz w:val="24"/>
        </w:rPr>
        <w:t>（一）甲方的权利和义务：</w:t>
      </w:r>
    </w:p>
    <w:p>
      <w:pPr>
        <w:ind w:firstLine="480"/>
        <w:jc w:val="both"/>
      </w:pPr>
      <w:r>
        <w:rPr>
          <w:sz w:val="24"/>
        </w:rPr>
        <w:t>1、甲方对乙方的维修养护工作进行全面的监督，采用每月定期检查和不定期检查考评验收的方法，对乙方维修养护质量进行检查和验收。</w:t>
      </w:r>
    </w:p>
    <w:p>
      <w:pPr>
        <w:ind w:firstLine="480"/>
        <w:jc w:val="both"/>
      </w:pPr>
      <w:r>
        <w:rPr>
          <w:sz w:val="24"/>
        </w:rPr>
        <w:t>2、甲方对检查和验收未达标准或不合格者进行扣罚。</w:t>
      </w:r>
    </w:p>
    <w:p>
      <w:pPr>
        <w:ind w:firstLine="480"/>
        <w:jc w:val="both"/>
      </w:pPr>
      <w:r>
        <w:rPr>
          <w:sz w:val="24"/>
        </w:rPr>
        <w:t>3、甲方应按维修养护质量和检查验收结果计算养护经费，扣除乙方不合格的费用后，将养护费支付给乙方。</w:t>
      </w:r>
    </w:p>
    <w:p>
      <w:pPr>
        <w:ind w:firstLine="480"/>
        <w:jc w:val="both"/>
      </w:pPr>
      <w:r>
        <w:rPr>
          <w:sz w:val="24"/>
        </w:rPr>
        <w:t>4、甲方应按时支付款项。</w:t>
      </w:r>
    </w:p>
    <w:p>
      <w:pPr>
        <w:ind w:firstLine="480"/>
        <w:jc w:val="both"/>
      </w:pPr>
      <w:r>
        <w:rPr>
          <w:sz w:val="24"/>
        </w:rPr>
        <w:t>5、成立考评小组负责各项检查考评付款工作。同时对合同期间属于的日常路面病害防治及路面坑槽修补材料进行界定。</w:t>
      </w:r>
    </w:p>
    <w:p>
      <w:pPr>
        <w:ind w:firstLine="480"/>
        <w:jc w:val="both"/>
      </w:pPr>
      <w:r>
        <w:rPr>
          <w:sz w:val="24"/>
        </w:rPr>
        <w:t>6、</w:t>
      </w:r>
      <w:r>
        <w:rPr>
          <w:sz w:val="24"/>
        </w:rPr>
        <w:t>甲方配给乙方原道班用房、工具设备及车辆，乙方应妥善使用保管（具体详见附件清单），其它辅助工具由乙方自行配置。</w:t>
      </w:r>
    </w:p>
    <w:p>
      <w:pPr>
        <w:ind w:firstLine="480"/>
        <w:jc w:val="both"/>
      </w:pPr>
      <w:r>
        <w:rPr>
          <w:sz w:val="24"/>
        </w:rPr>
        <w:t>7、</w:t>
      </w:r>
      <w:r>
        <w:rPr>
          <w:sz w:val="24"/>
        </w:rPr>
        <w:t>乙方承包期间负责汽车的保险、年检、油耗、保养、维护。</w:t>
      </w:r>
    </w:p>
    <w:p>
      <w:pPr>
        <w:ind w:firstLine="480"/>
        <w:jc w:val="both"/>
      </w:pPr>
      <w:r>
        <w:rPr>
          <w:sz w:val="24"/>
        </w:rPr>
        <w:t>8、</w:t>
      </w:r>
      <w:r>
        <w:rPr>
          <w:sz w:val="24"/>
        </w:rPr>
        <w:t>作业车辆应做好日常车辆保养及维修工作，保持外观清洁、干净；车容整洁，车况良好。若出现设备故障，乙方必须及时解决或者提供备用设备，以保证服务质量。</w:t>
      </w:r>
    </w:p>
    <w:p>
      <w:pPr>
        <w:ind w:firstLine="480"/>
        <w:jc w:val="both"/>
      </w:pPr>
      <w:r>
        <w:rPr>
          <w:sz w:val="24"/>
        </w:rPr>
        <w:t>（二）乙方的权利和义务</w:t>
      </w:r>
    </w:p>
    <w:p>
      <w:pPr>
        <w:ind w:firstLine="480"/>
        <w:jc w:val="both"/>
      </w:pPr>
      <w:r>
        <w:rPr>
          <w:sz w:val="24"/>
        </w:rPr>
        <w:t>1、乙方有权根据合同领取养护经费。</w:t>
      </w:r>
    </w:p>
    <w:p>
      <w:pPr>
        <w:ind w:firstLine="480"/>
        <w:jc w:val="both"/>
      </w:pPr>
      <w:r>
        <w:rPr>
          <w:sz w:val="24"/>
        </w:rPr>
        <w:t>2、乙方有权对养护工作提出建议。</w:t>
      </w:r>
    </w:p>
    <w:p>
      <w:pPr>
        <w:ind w:firstLine="480"/>
        <w:jc w:val="both"/>
      </w:pPr>
      <w:r>
        <w:rPr>
          <w:sz w:val="24"/>
        </w:rPr>
        <w:t>3、乙方人员上路作业时，应着反光服、佩戴安全头盔，服从甲方的监督和管理，并在甲方的专业技术人员指导下开展路面养护作业工作。</w:t>
      </w:r>
    </w:p>
    <w:p>
      <w:pPr>
        <w:ind w:firstLine="480"/>
        <w:jc w:val="both"/>
      </w:pPr>
      <w:r>
        <w:rPr>
          <w:sz w:val="24"/>
        </w:rPr>
        <w:t>4、在特殊情况下（台风或暴雨等），乙方除应做好管辖地点的保护工作外，还应服从甲方的统一指挥和调动，参加全市的抢险救灾工作。</w:t>
      </w:r>
    </w:p>
    <w:p>
      <w:pPr>
        <w:ind w:firstLine="480"/>
        <w:jc w:val="both"/>
      </w:pPr>
      <w:r>
        <w:rPr>
          <w:sz w:val="24"/>
        </w:rPr>
        <w:t>5</w:t>
      </w:r>
      <w:r>
        <w:rPr>
          <w:sz w:val="24"/>
        </w:rPr>
        <w:t>、如政府部门有重大活动或接待任务情况下，乙方应服从甲方的统一指挥和调动。</w:t>
      </w:r>
    </w:p>
    <w:p>
      <w:pPr>
        <w:ind w:firstLine="480"/>
        <w:jc w:val="both"/>
      </w:pPr>
      <w:r>
        <w:rPr>
          <w:sz w:val="24"/>
        </w:rPr>
        <w:t>6</w:t>
      </w:r>
      <w:r>
        <w:rPr>
          <w:sz w:val="24"/>
        </w:rPr>
        <w:t>、乙方应负责管理道路及配套设施不受破坏。</w:t>
      </w:r>
    </w:p>
    <w:p>
      <w:pPr>
        <w:ind w:firstLine="480"/>
        <w:jc w:val="both"/>
      </w:pPr>
      <w:r>
        <w:rPr>
          <w:sz w:val="24"/>
        </w:rPr>
        <w:t>7</w:t>
      </w:r>
      <w:r>
        <w:rPr>
          <w:sz w:val="24"/>
        </w:rPr>
        <w:t>、乙方不得将维修养护工作转承包。</w:t>
      </w:r>
    </w:p>
    <w:p>
      <w:pPr>
        <w:ind w:firstLine="480"/>
        <w:jc w:val="both"/>
      </w:pPr>
      <w:r>
        <w:rPr>
          <w:sz w:val="24"/>
        </w:rPr>
        <w:t>8</w:t>
      </w:r>
      <w:r>
        <w:rPr>
          <w:sz w:val="24"/>
        </w:rPr>
        <w:t>、在合同期内，甲方管理需要调整乙方养护地段范围和养护级别时，乙方要服从大局，相应减少承包面积及经费。由此造成的经济损失，甲方不负赔偿责任。</w:t>
      </w:r>
    </w:p>
    <w:p>
      <w:pPr>
        <w:ind w:firstLine="480"/>
        <w:jc w:val="both"/>
      </w:pPr>
      <w:r>
        <w:rPr>
          <w:sz w:val="24"/>
        </w:rPr>
        <w:t>9</w:t>
      </w:r>
      <w:r>
        <w:rPr>
          <w:sz w:val="24"/>
        </w:rPr>
        <w:t>、乙方须落实文明养护措施，为广大市民提供文明的服务。</w:t>
      </w:r>
    </w:p>
    <w:p>
      <w:pPr>
        <w:ind w:firstLine="480"/>
        <w:jc w:val="both"/>
      </w:pPr>
      <w:r>
        <w:rPr>
          <w:sz w:val="24"/>
        </w:rPr>
        <w:t>10</w:t>
      </w:r>
      <w:r>
        <w:rPr>
          <w:sz w:val="24"/>
        </w:rPr>
        <w:t>、本承包合同的养护经费由政府拨款，如因政策的影响，拨款未能及时到位，乙方不得以此为由而不履行本合同规定的义务。</w:t>
      </w:r>
    </w:p>
    <w:p>
      <w:pPr>
        <w:ind w:firstLine="480"/>
        <w:jc w:val="both"/>
      </w:pPr>
      <w:r>
        <w:rPr>
          <w:sz w:val="24"/>
        </w:rPr>
        <w:t>11</w:t>
      </w:r>
      <w:r>
        <w:rPr>
          <w:sz w:val="24"/>
        </w:rPr>
        <w:t>、乙方应成立项目部，专人负责对应甲方有关检查考评事宜，并在定期检査考核评分前提供上一月度的维修养护服务的工作内容和相关具体项目的资料及依据。</w:t>
      </w:r>
    </w:p>
    <w:p>
      <w:pPr>
        <w:ind w:firstLine="480"/>
        <w:jc w:val="both"/>
      </w:pPr>
      <w:r>
        <w:rPr>
          <w:sz w:val="24"/>
        </w:rPr>
        <w:t>12</w:t>
      </w:r>
      <w:r>
        <w:rPr>
          <w:sz w:val="24"/>
        </w:rPr>
        <w:t>、因管理不善造成设施损坏的，应及时（</w:t>
      </w:r>
      <w:r>
        <w:rPr>
          <w:sz w:val="24"/>
        </w:rPr>
        <w:t>2天内）原状恢复。若在特殊情况下（台风或暴雨等）造成设施损坏的，则应立即报告甲方，并经甲方确认后予以恢复</w:t>
      </w:r>
      <w:r>
        <w:rPr>
          <w:sz w:val="24"/>
        </w:rPr>
        <w:t>。</w:t>
      </w:r>
    </w:p>
    <w:p>
      <w:pPr>
        <w:ind w:firstLine="480"/>
        <w:jc w:val="both"/>
      </w:pPr>
      <w:r>
        <w:rPr>
          <w:sz w:val="24"/>
        </w:rPr>
        <w:t>13、乙方在同等条件下，需优先吸纳甲方分流或清退解除劳动关系的就业困难人员。</w:t>
      </w:r>
    </w:p>
    <w:p>
      <w:pPr>
        <w:ind w:firstLine="480"/>
        <w:jc w:val="both"/>
      </w:pPr>
      <w:r>
        <w:rPr>
          <w:sz w:val="24"/>
        </w:rPr>
        <w:t>14、乙方承包期间负责汽车的保险、年检、油耗、保养、维护。</w:t>
      </w:r>
    </w:p>
    <w:p>
      <w:pPr>
        <w:ind w:firstLine="480"/>
        <w:jc w:val="both"/>
      </w:pPr>
      <w:r>
        <w:rPr>
          <w:sz w:val="24"/>
        </w:rPr>
        <w:t>15、作业车辆应做好日常车辆保养及维修工作，保持外观清洁、干净；车容整洁，车况良好。若出现设备故障，乙方必须及时解决或者提供备用设备，以保证服务质量。</w:t>
      </w:r>
    </w:p>
    <w:p>
      <w:pPr>
        <w:ind w:firstLine="480"/>
        <w:jc w:val="both"/>
      </w:pPr>
      <w:r>
        <w:rPr>
          <w:sz w:val="24"/>
        </w:rPr>
        <w:t>16、合同期满，乙方应如数归还由甲方提供使用的道班用房、工具设备及车辆，若造成损坏或数量不足的，乙方需按新购价赔偿甲方。若乙方不履行责任的，甲方可在乙方的承包款中扣减相关费用后再行付款，由此造成的付款时间延误由乙方负责。</w:t>
      </w:r>
    </w:p>
    <w:p>
      <w:pPr>
        <w:ind w:firstLine="482"/>
        <w:jc w:val="both"/>
      </w:pPr>
      <w:r>
        <w:rPr>
          <w:b/>
          <w:sz w:val="24"/>
        </w:rPr>
        <w:t>第</w:t>
      </w:r>
      <w:r>
        <w:rPr>
          <w:b/>
          <w:sz w:val="24"/>
        </w:rPr>
        <w:t>八</w:t>
      </w:r>
      <w:r>
        <w:rPr>
          <w:b/>
          <w:sz w:val="24"/>
        </w:rPr>
        <w:t>条：违约责任</w:t>
      </w:r>
    </w:p>
    <w:p>
      <w:pPr>
        <w:ind w:firstLine="480"/>
        <w:jc w:val="both"/>
      </w:pPr>
      <w:r>
        <w:rPr>
          <w:sz w:val="24"/>
        </w:rPr>
        <w:t>1、乙方违反国家法律法规或地方性规定，甲方有权单方终止本合同，由乙方承担一切经济损失和法律责任。</w:t>
      </w:r>
    </w:p>
    <w:p>
      <w:pPr>
        <w:ind w:firstLine="480"/>
        <w:jc w:val="both"/>
      </w:pPr>
      <w:r>
        <w:rPr>
          <w:sz w:val="24"/>
        </w:rPr>
        <w:t>2、乙方违反</w:t>
      </w:r>
      <w:r>
        <w:rPr>
          <w:sz w:val="24"/>
        </w:rPr>
        <w:t>《公路养护技术规范》、《公路养护安全作业规程》等相关</w:t>
      </w:r>
      <w:r>
        <w:rPr>
          <w:sz w:val="24"/>
        </w:rPr>
        <w:t>规定的行为均属违约行为。甲方根据上述规范和办法的规定，视乙方违反规定的情节轻重处理，情节严重者，甲方有权单方终止本合同，由乙方承担一切经济损失和法律责任。</w:t>
      </w:r>
    </w:p>
    <w:p>
      <w:pPr>
        <w:ind w:firstLine="480"/>
        <w:jc w:val="both"/>
      </w:pPr>
      <w:r>
        <w:rPr>
          <w:sz w:val="24"/>
        </w:rPr>
        <w:t>3、乙方擅自将</w:t>
      </w:r>
      <w:r>
        <w:rPr>
          <w:sz w:val="24"/>
        </w:rPr>
        <w:t>维修、养护等</w:t>
      </w:r>
      <w:r>
        <w:rPr>
          <w:sz w:val="24"/>
        </w:rPr>
        <w:t>任务转包给第三者的，甲方有权单方终止本合同。转包合同无效，由此造成的经济损失和法律责任由乙方承担。</w:t>
      </w:r>
    </w:p>
    <w:p>
      <w:pPr>
        <w:ind w:firstLine="480"/>
        <w:jc w:val="both"/>
      </w:pPr>
      <w:r>
        <w:rPr>
          <w:sz w:val="24"/>
        </w:rPr>
        <w:t>4、未经甲方书面同意，乙方擅自更换在甲方处专门负责</w:t>
      </w:r>
      <w:r>
        <w:rPr>
          <w:sz w:val="24"/>
        </w:rPr>
        <w:t>养护</w:t>
      </w:r>
      <w:r>
        <w:rPr>
          <w:sz w:val="24"/>
        </w:rPr>
        <w:t>技术人员的，甲方有权单方终止本合同，由此造成的经济损失由乙方负担。</w:t>
      </w:r>
    </w:p>
    <w:p>
      <w:pPr>
        <w:ind w:firstLine="482"/>
        <w:jc w:val="both"/>
      </w:pPr>
      <w:r>
        <w:rPr>
          <w:b/>
          <w:sz w:val="24"/>
        </w:rPr>
        <w:t>第</w:t>
      </w:r>
      <w:r>
        <w:rPr>
          <w:b/>
          <w:sz w:val="24"/>
        </w:rPr>
        <w:t>九</w:t>
      </w:r>
      <w:r>
        <w:rPr>
          <w:b/>
          <w:sz w:val="24"/>
        </w:rPr>
        <w:t>条：验收移交</w:t>
      </w:r>
    </w:p>
    <w:p>
      <w:pPr>
        <w:ind w:firstLine="480"/>
        <w:jc w:val="both"/>
      </w:pPr>
      <w:r>
        <w:rPr>
          <w:sz w:val="24"/>
        </w:rPr>
        <w:t>合同终止后，乙方须按《公路养护技术规范》、《公路养护安全作业规程》，将完整的</w:t>
      </w:r>
      <w:r>
        <w:rPr>
          <w:sz w:val="24"/>
        </w:rPr>
        <w:t>汕头市澄海区地方公路管养中心公路日常养护服务市场化项目</w:t>
      </w:r>
      <w:r>
        <w:rPr>
          <w:sz w:val="24"/>
        </w:rPr>
        <w:t>工程</w:t>
      </w:r>
      <w:r>
        <w:rPr>
          <w:sz w:val="24"/>
        </w:rPr>
        <w:t>、原</w:t>
      </w:r>
      <w:r>
        <w:rPr>
          <w:sz w:val="24"/>
        </w:rPr>
        <w:t>道班用房、工具设备及车辆等</w:t>
      </w:r>
      <w:r>
        <w:rPr>
          <w:sz w:val="24"/>
        </w:rPr>
        <w:t>移交给甲方。如乙方承包</w:t>
      </w:r>
      <w:r>
        <w:rPr>
          <w:sz w:val="24"/>
        </w:rPr>
        <w:t>道路及配套设施养护</w:t>
      </w:r>
      <w:r>
        <w:rPr>
          <w:sz w:val="24"/>
        </w:rPr>
        <w:t>受到损坏等，乙方须承担经济赔偿和相关责任。</w:t>
      </w:r>
    </w:p>
    <w:p>
      <w:pPr>
        <w:ind w:firstLine="482"/>
        <w:jc w:val="both"/>
      </w:pPr>
      <w:r>
        <w:rPr>
          <w:b/>
          <w:sz w:val="24"/>
        </w:rPr>
        <w:t>第十条：争议的解决</w:t>
      </w:r>
    </w:p>
    <w:p>
      <w:pPr>
        <w:ind w:firstLine="480"/>
        <w:jc w:val="both"/>
      </w:pPr>
      <w:r>
        <w:rPr>
          <w:sz w:val="24"/>
        </w:rPr>
        <w:t>项目在实施过程中发生争议时，甲乙双方应及时协商解决。协商不成时，双方同意由汕头仲裁委员会仲裁。</w:t>
      </w:r>
    </w:p>
    <w:p>
      <w:pPr>
        <w:ind w:firstLine="482"/>
        <w:jc w:val="both"/>
      </w:pPr>
      <w:r>
        <w:rPr>
          <w:b/>
          <w:sz w:val="24"/>
        </w:rPr>
        <w:t>第十</w:t>
      </w:r>
      <w:r>
        <w:rPr>
          <w:b/>
          <w:sz w:val="24"/>
        </w:rPr>
        <w:t>一</w:t>
      </w:r>
      <w:r>
        <w:rPr>
          <w:b/>
          <w:sz w:val="24"/>
        </w:rPr>
        <w:t>条：未尽事宜</w:t>
      </w:r>
    </w:p>
    <w:p>
      <w:pPr>
        <w:ind w:firstLine="480"/>
        <w:jc w:val="both"/>
      </w:pPr>
      <w:r>
        <w:rPr>
          <w:sz w:val="24"/>
        </w:rPr>
        <w:t>本合同未尽事宜，由甲乙双方共同协商，签订补充协议，补充协议与本合同具有同等法律效力。</w:t>
      </w:r>
    </w:p>
    <w:p>
      <w:pPr>
        <w:ind w:firstLine="482"/>
        <w:jc w:val="both"/>
      </w:pPr>
      <w:r>
        <w:rPr>
          <w:b/>
          <w:sz w:val="24"/>
        </w:rPr>
        <w:t>第十</w:t>
      </w:r>
      <w:r>
        <w:rPr>
          <w:b/>
          <w:sz w:val="24"/>
        </w:rPr>
        <w:t>二</w:t>
      </w:r>
      <w:r>
        <w:rPr>
          <w:b/>
          <w:sz w:val="24"/>
        </w:rPr>
        <w:t>条：合同附件</w:t>
      </w:r>
    </w:p>
    <w:p>
      <w:pPr>
        <w:ind w:firstLine="480"/>
        <w:jc w:val="both"/>
      </w:pPr>
      <w:r>
        <w:rPr>
          <w:sz w:val="24"/>
        </w:rPr>
        <w:t>磋商文件、乙方的响应文件、中标</w:t>
      </w:r>
      <w:r>
        <w:rPr>
          <w:sz w:val="24"/>
        </w:rPr>
        <w:t>/成交</w:t>
      </w:r>
      <w:r>
        <w:rPr>
          <w:sz w:val="24"/>
        </w:rPr>
        <w:t>通知书和《附件一、</w:t>
      </w:r>
      <w:r>
        <w:rPr>
          <w:sz w:val="24"/>
        </w:rPr>
        <w:t>汕头市澄海区地方公路管养中心公路日常养护服务市场化项目考核表</w:t>
      </w:r>
      <w:r>
        <w:rPr>
          <w:sz w:val="24"/>
        </w:rPr>
        <w:t>》等其他附件为本合同的有效组成部分，与其它条款共同组成本合同，具有同等法律效</w:t>
      </w:r>
      <w:r>
        <w:rPr>
          <w:sz w:val="24"/>
        </w:rPr>
        <w:t>力，乙</w:t>
      </w:r>
      <w:r>
        <w:rPr>
          <w:sz w:val="24"/>
        </w:rPr>
        <w:t>方应严格遵守</w:t>
      </w:r>
      <w:r>
        <w:rPr>
          <w:sz w:val="24"/>
        </w:rPr>
        <w:t>。</w:t>
      </w:r>
    </w:p>
    <w:p>
      <w:pPr>
        <w:ind w:firstLine="482"/>
        <w:jc w:val="both"/>
      </w:pPr>
      <w:r>
        <w:rPr>
          <w:b/>
          <w:sz w:val="24"/>
        </w:rPr>
        <w:t>第十</w:t>
      </w:r>
      <w:r>
        <w:rPr>
          <w:b/>
          <w:sz w:val="24"/>
        </w:rPr>
        <w:t>三</w:t>
      </w:r>
      <w:r>
        <w:rPr>
          <w:b/>
          <w:sz w:val="24"/>
        </w:rPr>
        <w:t>条：合同生效及终止</w:t>
      </w:r>
    </w:p>
    <w:p>
      <w:pPr>
        <w:ind w:firstLine="480"/>
        <w:jc w:val="both"/>
      </w:pPr>
      <w:r>
        <w:rPr>
          <w:sz w:val="24"/>
        </w:rPr>
        <w:t>（一）合同生效：本合同自甲乙双方法定代表人签字、盖章之日起生效。</w:t>
      </w:r>
    </w:p>
    <w:p>
      <w:pPr>
        <w:ind w:firstLine="480"/>
        <w:jc w:val="both"/>
      </w:pPr>
      <w:r>
        <w:rPr>
          <w:sz w:val="24"/>
        </w:rPr>
        <w:t>（二）合同终止：本合同出现下列情况时终止</w:t>
      </w:r>
    </w:p>
    <w:p>
      <w:pPr>
        <w:ind w:firstLine="480"/>
        <w:jc w:val="both"/>
      </w:pPr>
      <w:r>
        <w:rPr>
          <w:sz w:val="24"/>
        </w:rPr>
        <w:t>1、期限届满时自行终止</w:t>
      </w:r>
    </w:p>
    <w:p>
      <w:pPr>
        <w:ind w:firstLine="480"/>
        <w:jc w:val="both"/>
      </w:pPr>
      <w:r>
        <w:rPr>
          <w:sz w:val="24"/>
        </w:rPr>
        <w:t>2、出现合同中列出的终止事由</w:t>
      </w:r>
    </w:p>
    <w:p>
      <w:pPr>
        <w:ind w:firstLine="480"/>
        <w:jc w:val="both"/>
      </w:pPr>
      <w:r>
        <w:rPr>
          <w:sz w:val="24"/>
        </w:rPr>
        <w:t>3、法律规定的终止事由</w:t>
      </w:r>
    </w:p>
    <w:p>
      <w:pPr>
        <w:ind w:firstLine="482"/>
        <w:jc w:val="both"/>
      </w:pPr>
      <w:r>
        <w:rPr>
          <w:b/>
          <w:sz w:val="24"/>
        </w:rPr>
        <w:t>第十</w:t>
      </w:r>
      <w:r>
        <w:rPr>
          <w:b/>
          <w:sz w:val="24"/>
        </w:rPr>
        <w:t>五</w:t>
      </w:r>
      <w:r>
        <w:rPr>
          <w:b/>
          <w:sz w:val="24"/>
        </w:rPr>
        <w:t>条：合同的份数</w:t>
      </w:r>
    </w:p>
    <w:p>
      <w:pPr>
        <w:ind w:firstLine="480"/>
        <w:jc w:val="both"/>
      </w:pPr>
      <w:r>
        <w:rPr>
          <w:sz w:val="24"/>
        </w:rPr>
        <w:t>本合同一式</w:t>
      </w:r>
      <w:r>
        <w:rPr>
          <w:sz w:val="24"/>
        </w:rPr>
        <w:t>八</w:t>
      </w:r>
      <w:r>
        <w:rPr>
          <w:sz w:val="24"/>
        </w:rPr>
        <w:t>份，甲方持</w:t>
      </w:r>
      <w:r>
        <w:rPr>
          <w:sz w:val="24"/>
        </w:rPr>
        <w:t>四</w:t>
      </w:r>
      <w:r>
        <w:rPr>
          <w:sz w:val="24"/>
        </w:rPr>
        <w:t>份，乙方执</w:t>
      </w:r>
      <w:r>
        <w:rPr>
          <w:sz w:val="24"/>
        </w:rPr>
        <w:t>二</w:t>
      </w:r>
      <w:r>
        <w:rPr>
          <w:sz w:val="24"/>
        </w:rPr>
        <w:t>份，</w:t>
      </w:r>
      <w:r>
        <w:rPr>
          <w:sz w:val="24"/>
        </w:rPr>
        <w:t>其余送有关部门，</w:t>
      </w:r>
      <w:r>
        <w:rPr>
          <w:sz w:val="24"/>
        </w:rPr>
        <w:t>并具同等法律效力。</w:t>
      </w:r>
    </w:p>
    <w:p>
      <w:pPr>
        <w:jc w:val="both"/>
      </w:pPr>
    </w:p>
    <w:p>
      <w:pPr>
        <w:jc w:val="both"/>
      </w:pPr>
    </w:p>
    <w:p>
      <w:pPr>
        <w:jc w:val="both"/>
      </w:pPr>
      <w:r>
        <w:rPr>
          <w:sz w:val="24"/>
        </w:rPr>
        <w:t>甲方</w:t>
      </w:r>
      <w:r>
        <w:rPr>
          <w:sz w:val="24"/>
        </w:rPr>
        <w:t>（盖章）</w:t>
      </w:r>
      <w:r>
        <w:rPr>
          <w:sz w:val="24"/>
        </w:rPr>
        <w:t>：</w:t>
      </w:r>
      <w:r>
        <w:rPr>
          <w:sz w:val="21"/>
        </w:rPr>
        <w:t xml:space="preserve">                       </w:t>
      </w:r>
      <w:r>
        <w:rPr>
          <w:sz w:val="24"/>
        </w:rPr>
        <w:t xml:space="preserve">     </w:t>
      </w:r>
      <w:r>
        <w:rPr>
          <w:sz w:val="24"/>
        </w:rPr>
        <w:t>乙方</w:t>
      </w:r>
      <w:r>
        <w:rPr>
          <w:sz w:val="24"/>
        </w:rPr>
        <w:t>（盖章）</w:t>
      </w:r>
      <w:r>
        <w:rPr>
          <w:sz w:val="24"/>
        </w:rPr>
        <w:t>：</w:t>
      </w:r>
    </w:p>
    <w:p>
      <w:pPr>
        <w:jc w:val="both"/>
      </w:pPr>
      <w:r>
        <w:rPr>
          <w:sz w:val="24"/>
        </w:rPr>
        <w:t>法定代表人</w:t>
      </w:r>
      <w:r>
        <w:rPr>
          <w:sz w:val="24"/>
        </w:rPr>
        <w:t>（签名）</w:t>
      </w:r>
      <w:r>
        <w:rPr>
          <w:sz w:val="24"/>
        </w:rPr>
        <w:t>：</w:t>
      </w:r>
      <w:r>
        <w:rPr>
          <w:sz w:val="24"/>
        </w:rPr>
        <w:t xml:space="preserve">                     </w:t>
      </w:r>
      <w:r>
        <w:rPr>
          <w:sz w:val="24"/>
        </w:rPr>
        <w:t>法定代表人</w:t>
      </w:r>
      <w:r>
        <w:rPr>
          <w:sz w:val="24"/>
        </w:rPr>
        <w:t>（签名）</w:t>
      </w:r>
      <w:r>
        <w:rPr>
          <w:sz w:val="24"/>
        </w:rPr>
        <w:t>：</w:t>
      </w:r>
    </w:p>
    <w:p>
      <w:r>
        <w:rPr>
          <w:sz w:val="24"/>
        </w:rPr>
        <w:t>日期：</w:t>
      </w:r>
      <w:r>
        <w:rPr>
          <w:sz w:val="24"/>
        </w:rPr>
        <w:t xml:space="preserve">                                   </w:t>
      </w:r>
      <w:r>
        <w:rPr>
          <w:sz w:val="24"/>
        </w:rPr>
        <w:t>日期：</w:t>
      </w:r>
    </w:p>
    <w:p>
      <w:pPr>
        <w:jc w:val="center"/>
      </w:pP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810"/>
        <w:gridCol w:w="930"/>
        <w:gridCol w:w="2565"/>
        <w:gridCol w:w="1065"/>
        <w:gridCol w:w="675"/>
        <w:gridCol w:w="675"/>
        <w:gridCol w:w="675"/>
        <w:gridCol w:w="570"/>
      </w:tblGrid>
      <w:tr>
        <w:tc>
          <w:tcPr>
            <w:tcW w:type="dxa" w:w="7965"/>
            <w:gridSpan w:val="8"/>
            <w:tcBorders>
              <w:top w:val="none" w:color="000000" w:sz="4"/>
              <w:left w:val="none" w:color="000000" w:sz="4"/>
              <w:bottom w:val="none" w:color="000000" w:sz="4"/>
              <w:right w:val="none" w:color="000000" w:sz="4"/>
            </w:tcBorders>
            <w:vAlign w:val="top"/>
          </w:tcPr>
          <w:p>
            <w:pPr>
              <w:jc w:val="both"/>
            </w:pPr>
          </w:p>
          <w:p>
            <w:r>
              <w:rPr>
                <w:sz w:val="22"/>
              </w:rPr>
              <w:t>附件一、</w:t>
            </w:r>
            <w:r>
              <w:rPr>
                <w:sz w:val="22"/>
              </w:rPr>
              <w:t>汕头市澄海区地方公路管养中心公路日常养护服务市场化项目考核表</w:t>
            </w:r>
          </w:p>
          <w:p>
            <w:r>
              <w:rPr>
                <w:sz w:val="19"/>
              </w:rPr>
              <w:t xml:space="preserve"> </w:t>
            </w:r>
          </w:p>
        </w:tc>
      </w:tr>
      <w:tr>
        <w:tc>
          <w:tcPr>
            <w:tcW w:type="dxa" w:w="7965"/>
            <w:gridSpan w:val="8"/>
            <w:tcBorders>
              <w:top w:val="none" w:color="000000" w:sz="4"/>
              <w:left w:val="none" w:color="000000" w:sz="4"/>
              <w:bottom w:val="single" w:color="000000" w:sz="4"/>
              <w:right w:val="none" w:color="000000" w:sz="4"/>
            </w:tcBorders>
            <w:vAlign w:val="bottom"/>
          </w:tcPr>
          <w:p>
            <w:pPr>
              <w:jc w:val="both"/>
            </w:pPr>
            <w:r>
              <w:rPr>
                <w:sz w:val="22"/>
              </w:rPr>
              <w:t>管理单位名称：</w:t>
            </w:r>
            <w:r>
              <w:rPr>
                <w:sz w:val="22"/>
              </w:rPr>
              <w:t xml:space="preserve">                                    </w:t>
            </w:r>
            <w:r>
              <w:rPr>
                <w:sz w:val="22"/>
              </w:rPr>
              <w:t>年</w:t>
            </w:r>
            <w:r>
              <w:rPr>
                <w:sz w:val="22"/>
              </w:rPr>
              <w:t xml:space="preserve">  </w:t>
            </w:r>
            <w:r>
              <w:rPr>
                <w:sz w:val="22"/>
              </w:rPr>
              <w:t>月</w:t>
            </w:r>
            <w:r>
              <w:rPr>
                <w:sz w:val="22"/>
              </w:rPr>
              <w:t xml:space="preserve">  </w:t>
            </w:r>
            <w:r>
              <w:rPr>
                <w:sz w:val="22"/>
              </w:rPr>
              <w:t>日</w:t>
            </w:r>
          </w:p>
        </w:tc>
      </w:tr>
      <w:tr>
        <w:tc>
          <w:tcPr>
            <w:tcW w:type="dxa" w:w="810"/>
            <w:tcBorders>
              <w:top w:val="none" w:color="000000" w:sz="4"/>
              <w:left w:val="single" w:color="000000" w:sz="4"/>
              <w:bottom w:val="single" w:color="000000" w:sz="4"/>
              <w:right w:val="single" w:color="000000" w:sz="4"/>
            </w:tcBorders>
            <w:vAlign w:val="top"/>
          </w:tcPr>
          <w:p>
            <w:pPr>
              <w:jc w:val="both"/>
            </w:pPr>
            <w:r>
              <w:rPr>
                <w:sz w:val="22"/>
              </w:rPr>
              <w:t>编号</w:t>
            </w:r>
          </w:p>
        </w:tc>
        <w:tc>
          <w:tcPr>
            <w:tcW w:type="dxa" w:w="930"/>
            <w:tcBorders>
              <w:top w:val="single" w:color="000000" w:sz="4"/>
              <w:left w:val="none" w:color="000000" w:sz="4"/>
              <w:bottom w:val="single" w:color="000000" w:sz="4"/>
              <w:right w:val="single" w:color="000000" w:sz="4"/>
            </w:tcBorders>
            <w:vAlign w:val="top"/>
          </w:tcPr>
          <w:p>
            <w:pPr>
              <w:jc w:val="both"/>
            </w:pPr>
            <w:r>
              <w:rPr>
                <w:sz w:val="22"/>
              </w:rPr>
              <w:t>考核</w:t>
            </w:r>
            <w:r>
              <w:rPr>
                <w:sz w:val="22"/>
              </w:rPr>
              <w:t>项目</w:t>
            </w:r>
          </w:p>
        </w:tc>
        <w:tc>
          <w:tcPr>
            <w:tcW w:type="dxa" w:w="2565"/>
            <w:tcBorders>
              <w:top w:val="single" w:color="000000" w:sz="4"/>
              <w:left w:val="none" w:color="000000" w:sz="4"/>
              <w:bottom w:val="single" w:color="000000" w:sz="4"/>
              <w:right w:val="single" w:color="000000" w:sz="4"/>
            </w:tcBorders>
            <w:vAlign w:val="top"/>
          </w:tcPr>
          <w:p>
            <w:pPr>
              <w:jc w:val="both"/>
            </w:pPr>
            <w:r>
              <w:rPr>
                <w:sz w:val="22"/>
              </w:rPr>
              <w:t>考核内容</w:t>
            </w:r>
          </w:p>
        </w:tc>
        <w:tc>
          <w:tcPr>
            <w:tcW w:type="dxa" w:w="1065"/>
            <w:tcBorders>
              <w:top w:val="single" w:color="000000" w:sz="4"/>
              <w:left w:val="none" w:color="000000" w:sz="4"/>
              <w:bottom w:val="single" w:color="000000" w:sz="4"/>
              <w:right w:val="single" w:color="000000" w:sz="4"/>
            </w:tcBorders>
            <w:vAlign w:val="top"/>
          </w:tcPr>
          <w:p>
            <w:pPr>
              <w:jc w:val="both"/>
            </w:pPr>
            <w:r>
              <w:rPr>
                <w:sz w:val="22"/>
              </w:rPr>
              <w:t>扣分标准</w:t>
            </w:r>
          </w:p>
        </w:tc>
        <w:tc>
          <w:tcPr>
            <w:tcW w:type="dxa" w:w="675"/>
            <w:tcBorders>
              <w:top w:val="single" w:color="000000" w:sz="4"/>
              <w:left w:val="none" w:color="000000" w:sz="4"/>
              <w:bottom w:val="single" w:color="000000" w:sz="4"/>
              <w:right w:val="single" w:color="000000" w:sz="4"/>
            </w:tcBorders>
            <w:vAlign w:val="top"/>
          </w:tcPr>
          <w:p>
            <w:pPr>
              <w:jc w:val="both"/>
            </w:pPr>
            <w:r>
              <w:rPr>
                <w:sz w:val="22"/>
              </w:rPr>
              <w:t>单位</w:t>
            </w:r>
          </w:p>
        </w:tc>
        <w:tc>
          <w:tcPr>
            <w:tcW w:type="dxa" w:w="675"/>
            <w:tcBorders>
              <w:top w:val="single" w:color="000000" w:sz="4"/>
              <w:left w:val="none" w:color="000000" w:sz="4"/>
              <w:bottom w:val="single" w:color="000000" w:sz="4"/>
              <w:right w:val="single" w:color="000000" w:sz="4"/>
            </w:tcBorders>
            <w:vAlign w:val="top"/>
          </w:tcPr>
          <w:p>
            <w:pPr>
              <w:jc w:val="both"/>
            </w:pPr>
            <w:r>
              <w:rPr>
                <w:sz w:val="22"/>
              </w:rPr>
              <w:t>数量</w:t>
            </w:r>
          </w:p>
        </w:tc>
        <w:tc>
          <w:tcPr>
            <w:tcW w:type="dxa" w:w="675"/>
            <w:tcBorders>
              <w:top w:val="single" w:color="000000" w:sz="4"/>
              <w:left w:val="none" w:color="000000" w:sz="4"/>
              <w:bottom w:val="single" w:color="000000" w:sz="4"/>
              <w:right w:val="single" w:color="000000" w:sz="4"/>
            </w:tcBorders>
            <w:vAlign w:val="top"/>
          </w:tcPr>
          <w:p>
            <w:pPr>
              <w:jc w:val="both"/>
            </w:pPr>
            <w:r>
              <w:rPr>
                <w:sz w:val="22"/>
              </w:rPr>
              <w:t>分数</w:t>
            </w:r>
          </w:p>
        </w:tc>
        <w:tc>
          <w:tcPr>
            <w:tcW w:type="dxa" w:w="570"/>
            <w:tcBorders>
              <w:top w:val="single" w:color="000000" w:sz="4"/>
              <w:left w:val="none" w:color="000000" w:sz="4"/>
              <w:bottom w:val="single" w:color="000000" w:sz="4"/>
              <w:right w:val="single" w:color="000000" w:sz="4"/>
            </w:tcBorders>
            <w:vAlign w:val="top"/>
          </w:tcPr>
          <w:p>
            <w:pPr>
              <w:jc w:val="both"/>
            </w:pPr>
            <w:r>
              <w:rPr>
                <w:sz w:val="22"/>
              </w:rPr>
              <w:t>存在问题位置</w:t>
            </w:r>
          </w:p>
        </w:tc>
      </w:tr>
      <w:tr>
        <w:tc>
          <w:tcPr>
            <w:tcW w:type="dxa" w:w="810"/>
            <w:vMerge w:val="restart"/>
            <w:tcBorders>
              <w:top w:val="none" w:color="000000" w:sz="4"/>
              <w:left w:val="single" w:color="000000" w:sz="4"/>
              <w:bottom w:val="single" w:color="000000" w:sz="4"/>
              <w:right w:val="single" w:color="000000" w:sz="4"/>
            </w:tcBorders>
            <w:vAlign w:val="top"/>
          </w:tcPr>
          <w:p>
            <w:pPr>
              <w:jc w:val="both"/>
            </w:pPr>
            <w:r>
              <w:rPr>
                <w:sz w:val="22"/>
              </w:rPr>
              <w:t>1</w:t>
            </w:r>
            <w:r>
              <w:rPr>
                <w:sz w:val="22"/>
              </w:rPr>
              <w:t>--</w:t>
            </w:r>
            <w:r>
              <w:rPr>
                <w:sz w:val="22"/>
              </w:rPr>
              <w:t>1</w:t>
            </w:r>
          </w:p>
        </w:tc>
        <w:tc>
          <w:tcPr>
            <w:tcW w:type="dxa" w:w="930"/>
            <w:vMerge w:val="restart"/>
            <w:tcBorders>
              <w:top w:val="none" w:color="000000" w:sz="4"/>
              <w:left w:val="none" w:color="000000" w:sz="4"/>
              <w:bottom w:val="single" w:color="000000" w:sz="4"/>
              <w:right w:val="single" w:color="000000" w:sz="4"/>
            </w:tcBorders>
            <w:vAlign w:val="top"/>
          </w:tcPr>
          <w:p>
            <w:pPr>
              <w:jc w:val="both"/>
            </w:pPr>
            <w:r>
              <w:rPr>
                <w:sz w:val="22"/>
              </w:rPr>
              <w:t>日常路面病害防治及路面坑槽修补</w:t>
            </w:r>
            <w:r>
              <w:rPr>
                <w:sz w:val="22"/>
              </w:rPr>
              <w:t>(30</w:t>
            </w:r>
            <w:r>
              <w:rPr>
                <w:sz w:val="22"/>
              </w:rPr>
              <w:t>分</w:t>
            </w:r>
            <w:r>
              <w:rPr>
                <w:sz w:val="22"/>
              </w:rPr>
              <w:t>)</w:t>
            </w:r>
          </w:p>
        </w:tc>
        <w:tc>
          <w:tcPr>
            <w:tcW w:type="dxa" w:w="2565"/>
            <w:tcBorders>
              <w:top w:val="none" w:color="000000" w:sz="4"/>
              <w:left w:val="none" w:color="000000" w:sz="4"/>
              <w:bottom w:val="single" w:color="000000" w:sz="4"/>
              <w:right w:val="single" w:color="000000" w:sz="4"/>
            </w:tcBorders>
            <w:vAlign w:val="top"/>
          </w:tcPr>
          <w:p>
            <w:pPr>
              <w:jc w:val="both"/>
            </w:pPr>
            <w:r>
              <w:rPr>
                <w:sz w:val="22"/>
              </w:rPr>
              <w:t>路面出现坑槽，车辙未修补</w:t>
            </w:r>
          </w:p>
        </w:tc>
        <w:tc>
          <w:tcPr>
            <w:tcW w:type="dxa" w:w="1065"/>
            <w:tcBorders>
              <w:top w:val="none" w:color="000000" w:sz="4"/>
              <w:left w:val="none" w:color="000000" w:sz="4"/>
              <w:bottom w:val="single" w:color="000000" w:sz="4"/>
              <w:right w:val="single" w:color="000000" w:sz="4"/>
            </w:tcBorders>
            <w:vAlign w:val="top"/>
          </w:tcPr>
          <w:p>
            <w:pPr>
              <w:jc w:val="both"/>
            </w:pPr>
            <w:r>
              <w:rPr>
                <w:sz w:val="22"/>
              </w:rPr>
              <w:t>大于</w:t>
            </w:r>
            <w:r>
              <w:rPr>
                <w:sz w:val="22"/>
              </w:rPr>
              <w:t>0.5</w:t>
            </w:r>
            <w:r>
              <w:rPr>
                <w:sz w:val="22"/>
              </w:rPr>
              <w:t>平方米扣</w:t>
            </w:r>
            <w:r>
              <w:rPr>
                <w:sz w:val="22"/>
              </w:rPr>
              <w:t>1</w:t>
            </w:r>
            <w:r>
              <w:rPr>
                <w:sz w:val="22"/>
              </w:rPr>
              <w:t>分</w:t>
            </w:r>
          </w:p>
        </w:tc>
        <w:tc>
          <w:tcPr>
            <w:tcW w:type="dxa" w:w="675"/>
            <w:tcBorders>
              <w:top w:val="none" w:color="000000" w:sz="4"/>
              <w:left w:val="none" w:color="000000" w:sz="4"/>
              <w:bottom w:val="single" w:color="000000" w:sz="4"/>
              <w:right w:val="single" w:color="000000" w:sz="4"/>
            </w:tcBorders>
            <w:vAlign w:val="top"/>
          </w:tcPr>
          <w:p>
            <w:pPr>
              <w:jc w:val="both"/>
            </w:pPr>
            <w:r>
              <w:rPr>
                <w:sz w:val="22"/>
              </w:rPr>
              <w:t>处</w:t>
            </w: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570"/>
            <w:tcBorders>
              <w:top w:val="none" w:color="000000" w:sz="4"/>
              <w:left w:val="none" w:color="000000" w:sz="4"/>
              <w:bottom w:val="single" w:color="000000" w:sz="4"/>
              <w:right w:val="single" w:color="000000" w:sz="4"/>
            </w:tcBorders>
            <w:vAlign w:val="top"/>
          </w:tcPr>
          <w:p>
            <w:pPr>
              <w:jc w:val="both"/>
            </w:pPr>
          </w:p>
        </w:tc>
      </w:tr>
      <w:tr>
        <w:tc>
          <w:tcPr>
            <w:tcW w:type="dxa" w:w="810"/>
            <w:vMerge/>
            <w:tcBorders>
              <w:top w:val="none" w:color="000000" w:sz="4"/>
              <w:left w:val="single" w:color="000000" w:sz="4"/>
              <w:bottom w:val="single" w:color="000000" w:sz="4"/>
              <w:right w:val="single" w:color="000000" w:sz="4"/>
            </w:tcBorders>
          </w:tcPr>
          <w:p/>
        </w:tc>
        <w:tc>
          <w:tcPr>
            <w:tcW w:type="dxa" w:w="930"/>
            <w:vMerge/>
            <w:tcBorders>
              <w:top w:val="none" w:color="000000" w:sz="4"/>
              <w:left w:val="none" w:color="000000" w:sz="4"/>
              <w:bottom w:val="single" w:color="000000" w:sz="4"/>
              <w:right w:val="single" w:color="000000" w:sz="4"/>
            </w:tcBorders>
          </w:tcPr>
          <w:p/>
        </w:tc>
        <w:tc>
          <w:tcPr>
            <w:tcW w:type="dxa" w:w="2565"/>
            <w:tcBorders>
              <w:top w:val="none" w:color="000000" w:sz="4"/>
              <w:left w:val="none" w:color="000000" w:sz="4"/>
              <w:bottom w:val="single" w:color="000000" w:sz="4"/>
              <w:right w:val="single" w:color="000000" w:sz="4"/>
            </w:tcBorders>
            <w:vAlign w:val="top"/>
          </w:tcPr>
          <w:p>
            <w:pPr>
              <w:jc w:val="both"/>
            </w:pPr>
            <w:r>
              <w:rPr>
                <w:sz w:val="22"/>
              </w:rPr>
              <w:t>道路裂缝，损坏，变形等病害未及时发现并处理的</w:t>
            </w:r>
          </w:p>
        </w:tc>
        <w:tc>
          <w:tcPr>
            <w:tcW w:type="dxa" w:w="1065"/>
            <w:tcBorders>
              <w:top w:val="none" w:color="000000" w:sz="4"/>
              <w:left w:val="none" w:color="000000" w:sz="4"/>
              <w:bottom w:val="single" w:color="000000" w:sz="4"/>
              <w:right w:val="single" w:color="000000" w:sz="4"/>
            </w:tcBorders>
            <w:vAlign w:val="top"/>
          </w:tcPr>
          <w:p>
            <w:pPr>
              <w:jc w:val="both"/>
            </w:pPr>
            <w:r>
              <w:rPr>
                <w:sz w:val="22"/>
              </w:rPr>
              <w:t>扣</w:t>
            </w:r>
            <w:r>
              <w:rPr>
                <w:sz w:val="22"/>
              </w:rPr>
              <w:t>1.5</w:t>
            </w:r>
            <w:r>
              <w:rPr>
                <w:sz w:val="22"/>
              </w:rPr>
              <w:t>分</w:t>
            </w:r>
          </w:p>
        </w:tc>
        <w:tc>
          <w:tcPr>
            <w:tcW w:type="dxa" w:w="675"/>
            <w:tcBorders>
              <w:top w:val="none" w:color="000000" w:sz="4"/>
              <w:left w:val="none" w:color="000000" w:sz="4"/>
              <w:bottom w:val="single" w:color="000000" w:sz="4"/>
              <w:right w:val="single" w:color="000000" w:sz="4"/>
            </w:tcBorders>
            <w:vAlign w:val="top"/>
          </w:tcPr>
          <w:p>
            <w:pPr>
              <w:jc w:val="both"/>
            </w:pPr>
            <w:r>
              <w:rPr>
                <w:sz w:val="22"/>
              </w:rPr>
              <w:t>处</w:t>
            </w: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570"/>
            <w:tcBorders>
              <w:top w:val="none" w:color="000000" w:sz="4"/>
              <w:left w:val="none" w:color="000000" w:sz="4"/>
              <w:bottom w:val="single" w:color="000000" w:sz="4"/>
              <w:right w:val="single" w:color="000000" w:sz="4"/>
            </w:tcBorders>
            <w:vAlign w:val="top"/>
          </w:tcPr>
          <w:p>
            <w:pPr>
              <w:jc w:val="both"/>
            </w:pPr>
          </w:p>
        </w:tc>
      </w:tr>
      <w:tr>
        <w:tc>
          <w:tcPr>
            <w:tcW w:type="dxa" w:w="810"/>
            <w:vMerge/>
            <w:tcBorders>
              <w:top w:val="none" w:color="000000" w:sz="4"/>
              <w:left w:val="single" w:color="000000" w:sz="4"/>
              <w:bottom w:val="single" w:color="000000" w:sz="4"/>
              <w:right w:val="single" w:color="000000" w:sz="4"/>
            </w:tcBorders>
          </w:tcPr>
          <w:p/>
        </w:tc>
        <w:tc>
          <w:tcPr>
            <w:tcW w:type="dxa" w:w="930"/>
            <w:vMerge/>
            <w:tcBorders>
              <w:top w:val="none" w:color="000000" w:sz="4"/>
              <w:left w:val="none" w:color="000000" w:sz="4"/>
              <w:bottom w:val="single" w:color="000000" w:sz="4"/>
              <w:right w:val="single" w:color="000000" w:sz="4"/>
            </w:tcBorders>
          </w:tcPr>
          <w:p/>
        </w:tc>
        <w:tc>
          <w:tcPr>
            <w:tcW w:type="dxa" w:w="2565"/>
            <w:tcBorders>
              <w:top w:val="none" w:color="000000" w:sz="4"/>
              <w:left w:val="none" w:color="000000" w:sz="4"/>
              <w:bottom w:val="single" w:color="000000" w:sz="4"/>
              <w:right w:val="single" w:color="000000" w:sz="4"/>
            </w:tcBorders>
            <w:vAlign w:val="top"/>
          </w:tcPr>
          <w:p>
            <w:pPr>
              <w:jc w:val="both"/>
            </w:pPr>
            <w:r>
              <w:rPr>
                <w:sz w:val="22"/>
              </w:rPr>
              <w:t>沥青修补不到位，影响行车安全的</w:t>
            </w:r>
          </w:p>
        </w:tc>
        <w:tc>
          <w:tcPr>
            <w:tcW w:type="dxa" w:w="1065"/>
            <w:tcBorders>
              <w:top w:val="none" w:color="000000" w:sz="4"/>
              <w:left w:val="none" w:color="000000" w:sz="4"/>
              <w:bottom w:val="single" w:color="000000" w:sz="4"/>
              <w:right w:val="single" w:color="000000" w:sz="4"/>
            </w:tcBorders>
            <w:vAlign w:val="top"/>
          </w:tcPr>
          <w:p>
            <w:pPr>
              <w:jc w:val="both"/>
            </w:pPr>
            <w:r>
              <w:rPr>
                <w:sz w:val="22"/>
              </w:rPr>
              <w:t>扣</w:t>
            </w:r>
            <w:r>
              <w:rPr>
                <w:sz w:val="22"/>
              </w:rPr>
              <w:t>1</w:t>
            </w:r>
            <w:r>
              <w:rPr>
                <w:sz w:val="22"/>
              </w:rPr>
              <w:t>分</w:t>
            </w:r>
          </w:p>
        </w:tc>
        <w:tc>
          <w:tcPr>
            <w:tcW w:type="dxa" w:w="675"/>
            <w:tcBorders>
              <w:top w:val="none" w:color="000000" w:sz="4"/>
              <w:left w:val="none" w:color="000000" w:sz="4"/>
              <w:bottom w:val="single" w:color="000000" w:sz="4"/>
              <w:right w:val="single" w:color="000000" w:sz="4"/>
            </w:tcBorders>
            <w:vAlign w:val="top"/>
          </w:tcPr>
          <w:p>
            <w:pPr>
              <w:jc w:val="both"/>
            </w:pPr>
            <w:r>
              <w:rPr>
                <w:sz w:val="22"/>
              </w:rPr>
              <w:t>处</w:t>
            </w: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570"/>
            <w:tcBorders>
              <w:top w:val="none" w:color="000000" w:sz="4"/>
              <w:left w:val="none" w:color="000000" w:sz="4"/>
              <w:bottom w:val="single" w:color="000000" w:sz="4"/>
              <w:right w:val="single" w:color="000000" w:sz="4"/>
            </w:tcBorders>
            <w:vAlign w:val="top"/>
          </w:tcPr>
          <w:p>
            <w:pPr>
              <w:jc w:val="both"/>
            </w:pPr>
          </w:p>
        </w:tc>
      </w:tr>
      <w:tr>
        <w:tc>
          <w:tcPr>
            <w:tcW w:type="dxa" w:w="810"/>
            <w:vMerge/>
            <w:tcBorders>
              <w:top w:val="none" w:color="000000" w:sz="4"/>
              <w:left w:val="single" w:color="000000" w:sz="4"/>
              <w:bottom w:val="single" w:color="000000" w:sz="4"/>
              <w:right w:val="single" w:color="000000" w:sz="4"/>
            </w:tcBorders>
          </w:tcPr>
          <w:p/>
        </w:tc>
        <w:tc>
          <w:tcPr>
            <w:tcW w:type="dxa" w:w="930"/>
            <w:vMerge/>
            <w:tcBorders>
              <w:top w:val="none" w:color="000000" w:sz="4"/>
              <w:left w:val="none" w:color="000000" w:sz="4"/>
              <w:bottom w:val="single" w:color="000000" w:sz="4"/>
              <w:right w:val="single" w:color="000000" w:sz="4"/>
            </w:tcBorders>
          </w:tcPr>
          <w:p/>
        </w:tc>
        <w:tc>
          <w:tcPr>
            <w:tcW w:type="dxa" w:w="2565"/>
            <w:tcBorders>
              <w:top w:val="none" w:color="000000" w:sz="4"/>
              <w:left w:val="none" w:color="000000" w:sz="4"/>
              <w:bottom w:val="single" w:color="000000" w:sz="4"/>
              <w:right w:val="single" w:color="000000" w:sz="4"/>
            </w:tcBorders>
            <w:vAlign w:val="top"/>
          </w:tcPr>
          <w:p>
            <w:pPr>
              <w:jc w:val="both"/>
            </w:pPr>
            <w:r>
              <w:rPr>
                <w:sz w:val="22"/>
              </w:rPr>
              <w:t>各种交通安全标志，标线污损，没有及时维护的</w:t>
            </w:r>
          </w:p>
        </w:tc>
        <w:tc>
          <w:tcPr>
            <w:tcW w:type="dxa" w:w="1065"/>
            <w:tcBorders>
              <w:top w:val="none" w:color="000000" w:sz="4"/>
              <w:left w:val="none" w:color="000000" w:sz="4"/>
              <w:bottom w:val="single" w:color="000000" w:sz="4"/>
              <w:right w:val="single" w:color="000000" w:sz="4"/>
            </w:tcBorders>
            <w:vAlign w:val="top"/>
          </w:tcPr>
          <w:p>
            <w:pPr>
              <w:jc w:val="both"/>
            </w:pPr>
            <w:r>
              <w:rPr>
                <w:sz w:val="22"/>
              </w:rPr>
              <w:t>扣</w:t>
            </w:r>
            <w:r>
              <w:rPr>
                <w:sz w:val="22"/>
              </w:rPr>
              <w:t>1</w:t>
            </w:r>
            <w:r>
              <w:rPr>
                <w:sz w:val="22"/>
              </w:rPr>
              <w:t>分</w:t>
            </w:r>
          </w:p>
        </w:tc>
        <w:tc>
          <w:tcPr>
            <w:tcW w:type="dxa" w:w="675"/>
            <w:tcBorders>
              <w:top w:val="none" w:color="000000" w:sz="4"/>
              <w:left w:val="none" w:color="000000" w:sz="4"/>
              <w:bottom w:val="single" w:color="000000" w:sz="4"/>
              <w:right w:val="single" w:color="000000" w:sz="4"/>
            </w:tcBorders>
            <w:vAlign w:val="top"/>
          </w:tcPr>
          <w:p>
            <w:pPr>
              <w:jc w:val="both"/>
            </w:pPr>
            <w:r>
              <w:rPr>
                <w:sz w:val="22"/>
              </w:rPr>
              <w:t>块</w:t>
            </w: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570"/>
            <w:tcBorders>
              <w:top w:val="none" w:color="000000" w:sz="4"/>
              <w:left w:val="none" w:color="000000" w:sz="4"/>
              <w:bottom w:val="single" w:color="000000" w:sz="4"/>
              <w:right w:val="single" w:color="000000" w:sz="4"/>
            </w:tcBorders>
            <w:vAlign w:val="top"/>
          </w:tcPr>
          <w:p>
            <w:pPr>
              <w:jc w:val="both"/>
            </w:pPr>
          </w:p>
        </w:tc>
      </w:tr>
      <w:tr>
        <w:tc>
          <w:tcPr>
            <w:tcW w:type="dxa" w:w="810"/>
            <w:vMerge w:val="restart"/>
            <w:tcBorders>
              <w:top w:val="none" w:color="000000" w:sz="4"/>
              <w:left w:val="single" w:color="000000" w:sz="4"/>
              <w:bottom w:val="single" w:color="000000" w:sz="4"/>
              <w:right w:val="single" w:color="000000" w:sz="4"/>
            </w:tcBorders>
            <w:vAlign w:val="top"/>
          </w:tcPr>
          <w:p>
            <w:pPr>
              <w:jc w:val="both"/>
            </w:pPr>
            <w:r>
              <w:rPr>
                <w:sz w:val="22"/>
              </w:rPr>
              <w:t>1--2</w:t>
            </w:r>
          </w:p>
        </w:tc>
        <w:tc>
          <w:tcPr>
            <w:tcW w:type="dxa" w:w="930"/>
            <w:vMerge w:val="restart"/>
            <w:tcBorders>
              <w:top w:val="none" w:color="000000" w:sz="4"/>
              <w:left w:val="none" w:color="000000" w:sz="4"/>
              <w:bottom w:val="single" w:color="000000" w:sz="4"/>
              <w:right w:val="single" w:color="000000" w:sz="4"/>
            </w:tcBorders>
            <w:vAlign w:val="top"/>
          </w:tcPr>
          <w:p>
            <w:pPr>
              <w:jc w:val="both"/>
            </w:pPr>
            <w:r>
              <w:rPr>
                <w:sz w:val="22"/>
              </w:rPr>
              <w:t>排水设施维护</w:t>
            </w:r>
            <w:r>
              <w:rPr>
                <w:sz w:val="22"/>
              </w:rPr>
              <w:t>(30</w:t>
            </w:r>
            <w:r>
              <w:rPr>
                <w:sz w:val="22"/>
              </w:rPr>
              <w:t>分</w:t>
            </w:r>
            <w:r>
              <w:rPr>
                <w:sz w:val="22"/>
              </w:rPr>
              <w:t>)</w:t>
            </w:r>
          </w:p>
        </w:tc>
        <w:tc>
          <w:tcPr>
            <w:tcW w:type="dxa" w:w="2565"/>
            <w:tcBorders>
              <w:top w:val="none" w:color="000000" w:sz="4"/>
              <w:left w:val="none" w:color="000000" w:sz="4"/>
              <w:bottom w:val="single" w:color="000000" w:sz="4"/>
              <w:right w:val="single" w:color="000000" w:sz="4"/>
            </w:tcBorders>
            <w:vAlign w:val="top"/>
          </w:tcPr>
          <w:p>
            <w:pPr>
              <w:jc w:val="both"/>
            </w:pPr>
            <w:r>
              <w:rPr>
                <w:sz w:val="22"/>
              </w:rPr>
              <w:t>雨天未及时清通道路积水</w:t>
            </w:r>
          </w:p>
        </w:tc>
        <w:tc>
          <w:tcPr>
            <w:tcW w:type="dxa" w:w="1065"/>
            <w:tcBorders>
              <w:top w:val="none" w:color="000000" w:sz="4"/>
              <w:left w:val="none" w:color="000000" w:sz="4"/>
              <w:bottom w:val="single" w:color="000000" w:sz="4"/>
              <w:right w:val="single" w:color="000000" w:sz="4"/>
            </w:tcBorders>
            <w:vAlign w:val="top"/>
          </w:tcPr>
          <w:p>
            <w:pPr>
              <w:jc w:val="both"/>
            </w:pPr>
            <w:r>
              <w:rPr>
                <w:sz w:val="22"/>
              </w:rPr>
              <w:t>扣</w:t>
            </w:r>
            <w:r>
              <w:rPr>
                <w:sz w:val="22"/>
              </w:rPr>
              <w:t>1</w:t>
            </w:r>
            <w:r>
              <w:rPr>
                <w:sz w:val="22"/>
              </w:rPr>
              <w:t>分</w:t>
            </w:r>
          </w:p>
        </w:tc>
        <w:tc>
          <w:tcPr>
            <w:tcW w:type="dxa" w:w="675"/>
            <w:tcBorders>
              <w:top w:val="none" w:color="000000" w:sz="4"/>
              <w:left w:val="none" w:color="000000" w:sz="4"/>
              <w:bottom w:val="single" w:color="000000" w:sz="4"/>
              <w:right w:val="single" w:color="000000" w:sz="4"/>
            </w:tcBorders>
            <w:vAlign w:val="top"/>
          </w:tcPr>
          <w:p>
            <w:pPr>
              <w:jc w:val="both"/>
            </w:pPr>
            <w:r>
              <w:rPr>
                <w:sz w:val="22"/>
              </w:rPr>
              <w:t>处</w:t>
            </w: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570"/>
            <w:tcBorders>
              <w:top w:val="none" w:color="000000" w:sz="4"/>
              <w:left w:val="none" w:color="000000" w:sz="4"/>
              <w:bottom w:val="single" w:color="000000" w:sz="4"/>
              <w:right w:val="single" w:color="000000" w:sz="4"/>
            </w:tcBorders>
            <w:vAlign w:val="top"/>
          </w:tcPr>
          <w:p>
            <w:pPr>
              <w:jc w:val="both"/>
            </w:pPr>
          </w:p>
        </w:tc>
      </w:tr>
      <w:tr>
        <w:tc>
          <w:tcPr>
            <w:tcW w:type="dxa" w:w="810"/>
            <w:vMerge/>
            <w:tcBorders>
              <w:top w:val="none" w:color="000000" w:sz="4"/>
              <w:left w:val="single" w:color="000000" w:sz="4"/>
              <w:bottom w:val="single" w:color="000000" w:sz="4"/>
              <w:right w:val="single" w:color="000000" w:sz="4"/>
            </w:tcBorders>
          </w:tcPr>
          <w:p/>
        </w:tc>
        <w:tc>
          <w:tcPr>
            <w:tcW w:type="dxa" w:w="930"/>
            <w:vMerge/>
            <w:tcBorders>
              <w:top w:val="none" w:color="000000" w:sz="4"/>
              <w:left w:val="none" w:color="000000" w:sz="4"/>
              <w:bottom w:val="single" w:color="000000" w:sz="4"/>
              <w:right w:val="single" w:color="000000" w:sz="4"/>
            </w:tcBorders>
          </w:tcPr>
          <w:p/>
        </w:tc>
        <w:tc>
          <w:tcPr>
            <w:tcW w:type="dxa" w:w="2565"/>
            <w:tcBorders>
              <w:top w:val="none" w:color="000000" w:sz="4"/>
              <w:left w:val="none" w:color="000000" w:sz="4"/>
              <w:bottom w:val="single" w:color="000000" w:sz="4"/>
              <w:right w:val="single" w:color="000000" w:sz="4"/>
            </w:tcBorders>
            <w:vAlign w:val="top"/>
          </w:tcPr>
          <w:p>
            <w:pPr>
              <w:jc w:val="both"/>
            </w:pPr>
            <w:r>
              <w:rPr>
                <w:sz w:val="22"/>
              </w:rPr>
              <w:t>未定期检查污水井，雨水口，导致堵塞的</w:t>
            </w:r>
          </w:p>
        </w:tc>
        <w:tc>
          <w:tcPr>
            <w:tcW w:type="dxa" w:w="1065"/>
            <w:tcBorders>
              <w:top w:val="none" w:color="000000" w:sz="4"/>
              <w:left w:val="none" w:color="000000" w:sz="4"/>
              <w:bottom w:val="single" w:color="000000" w:sz="4"/>
              <w:right w:val="single" w:color="000000" w:sz="4"/>
            </w:tcBorders>
            <w:vAlign w:val="top"/>
          </w:tcPr>
          <w:p>
            <w:pPr>
              <w:jc w:val="both"/>
            </w:pPr>
            <w:r>
              <w:rPr>
                <w:sz w:val="22"/>
              </w:rPr>
              <w:t>扣</w:t>
            </w:r>
            <w:r>
              <w:rPr>
                <w:sz w:val="22"/>
              </w:rPr>
              <w:t>1</w:t>
            </w:r>
            <w:r>
              <w:rPr>
                <w:sz w:val="22"/>
              </w:rPr>
              <w:t>分</w:t>
            </w:r>
          </w:p>
        </w:tc>
        <w:tc>
          <w:tcPr>
            <w:tcW w:type="dxa" w:w="675"/>
            <w:tcBorders>
              <w:top w:val="none" w:color="000000" w:sz="4"/>
              <w:left w:val="none" w:color="000000" w:sz="4"/>
              <w:bottom w:val="single" w:color="000000" w:sz="4"/>
              <w:right w:val="single" w:color="000000" w:sz="4"/>
            </w:tcBorders>
            <w:vAlign w:val="top"/>
          </w:tcPr>
          <w:p>
            <w:pPr>
              <w:jc w:val="both"/>
            </w:pPr>
            <w:r>
              <w:rPr>
                <w:sz w:val="22"/>
              </w:rPr>
              <w:t>个</w:t>
            </w: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570"/>
            <w:tcBorders>
              <w:top w:val="none" w:color="000000" w:sz="4"/>
              <w:left w:val="none" w:color="000000" w:sz="4"/>
              <w:bottom w:val="single" w:color="000000" w:sz="4"/>
              <w:right w:val="single" w:color="000000" w:sz="4"/>
            </w:tcBorders>
            <w:vAlign w:val="top"/>
          </w:tcPr>
          <w:p>
            <w:pPr>
              <w:jc w:val="both"/>
            </w:pPr>
          </w:p>
        </w:tc>
      </w:tr>
      <w:tr>
        <w:tc>
          <w:tcPr>
            <w:tcW w:type="dxa" w:w="810"/>
            <w:vMerge/>
            <w:tcBorders>
              <w:top w:val="none" w:color="000000" w:sz="4"/>
              <w:left w:val="single" w:color="000000" w:sz="4"/>
              <w:bottom w:val="single" w:color="000000" w:sz="4"/>
              <w:right w:val="single" w:color="000000" w:sz="4"/>
            </w:tcBorders>
          </w:tcPr>
          <w:p/>
        </w:tc>
        <w:tc>
          <w:tcPr>
            <w:tcW w:type="dxa" w:w="930"/>
            <w:vMerge/>
            <w:tcBorders>
              <w:top w:val="none" w:color="000000" w:sz="4"/>
              <w:left w:val="none" w:color="000000" w:sz="4"/>
              <w:bottom w:val="single" w:color="000000" w:sz="4"/>
              <w:right w:val="single" w:color="000000" w:sz="4"/>
            </w:tcBorders>
          </w:tcPr>
          <w:p/>
        </w:tc>
        <w:tc>
          <w:tcPr>
            <w:tcW w:type="dxa" w:w="2565"/>
            <w:tcBorders>
              <w:top w:val="none" w:color="000000" w:sz="4"/>
              <w:left w:val="none" w:color="000000" w:sz="4"/>
              <w:bottom w:val="single" w:color="000000" w:sz="4"/>
              <w:right w:val="single" w:color="000000" w:sz="4"/>
            </w:tcBorders>
            <w:vAlign w:val="top"/>
          </w:tcPr>
          <w:p>
            <w:pPr>
              <w:jc w:val="both"/>
            </w:pPr>
            <w:r>
              <w:rPr>
                <w:sz w:val="22"/>
              </w:rPr>
              <w:t>排水设施，沟井盖等缺损</w:t>
            </w:r>
            <w:r>
              <w:rPr>
                <w:sz w:val="22"/>
              </w:rPr>
              <w:t>，</w:t>
            </w:r>
            <w:r>
              <w:rPr>
                <w:sz w:val="22"/>
              </w:rPr>
              <w:t>丢失，未及时维护的</w:t>
            </w:r>
          </w:p>
        </w:tc>
        <w:tc>
          <w:tcPr>
            <w:tcW w:type="dxa" w:w="1065"/>
            <w:tcBorders>
              <w:top w:val="none" w:color="000000" w:sz="4"/>
              <w:left w:val="none" w:color="000000" w:sz="4"/>
              <w:bottom w:val="single" w:color="000000" w:sz="4"/>
              <w:right w:val="single" w:color="000000" w:sz="4"/>
            </w:tcBorders>
            <w:vAlign w:val="top"/>
          </w:tcPr>
          <w:p>
            <w:pPr>
              <w:jc w:val="both"/>
            </w:pPr>
            <w:r>
              <w:rPr>
                <w:sz w:val="22"/>
              </w:rPr>
              <w:t>扣</w:t>
            </w:r>
            <w:r>
              <w:rPr>
                <w:sz w:val="22"/>
              </w:rPr>
              <w:t>1</w:t>
            </w:r>
            <w:r>
              <w:rPr>
                <w:sz w:val="22"/>
              </w:rPr>
              <w:t>分</w:t>
            </w:r>
          </w:p>
        </w:tc>
        <w:tc>
          <w:tcPr>
            <w:tcW w:type="dxa" w:w="675"/>
            <w:tcBorders>
              <w:top w:val="none" w:color="000000" w:sz="4"/>
              <w:left w:val="none" w:color="000000" w:sz="4"/>
              <w:bottom w:val="single" w:color="000000" w:sz="4"/>
              <w:right w:val="single" w:color="000000" w:sz="4"/>
            </w:tcBorders>
            <w:vAlign w:val="top"/>
          </w:tcPr>
          <w:p>
            <w:pPr>
              <w:jc w:val="both"/>
            </w:pPr>
            <w:r>
              <w:rPr>
                <w:sz w:val="22"/>
              </w:rPr>
              <w:t>个</w:t>
            </w: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570"/>
            <w:tcBorders>
              <w:top w:val="none" w:color="000000" w:sz="4"/>
              <w:left w:val="none" w:color="000000" w:sz="4"/>
              <w:bottom w:val="single" w:color="000000" w:sz="4"/>
              <w:right w:val="single" w:color="000000" w:sz="4"/>
            </w:tcBorders>
            <w:vAlign w:val="top"/>
          </w:tcPr>
          <w:p>
            <w:pPr>
              <w:jc w:val="both"/>
            </w:pPr>
          </w:p>
        </w:tc>
      </w:tr>
      <w:tr>
        <w:tc>
          <w:tcPr>
            <w:tcW w:type="dxa" w:w="810"/>
            <w:vMerge w:val="restart"/>
            <w:tcBorders>
              <w:top w:val="none" w:color="000000" w:sz="4"/>
              <w:left w:val="single" w:color="000000" w:sz="4"/>
              <w:bottom w:val="single" w:color="000000" w:sz="4"/>
              <w:right w:val="single" w:color="000000" w:sz="4"/>
            </w:tcBorders>
            <w:vAlign w:val="top"/>
          </w:tcPr>
          <w:p>
            <w:pPr>
              <w:jc w:val="both"/>
            </w:pPr>
            <w:r>
              <w:rPr>
                <w:sz w:val="22"/>
              </w:rPr>
              <w:t>1--3</w:t>
            </w:r>
          </w:p>
        </w:tc>
        <w:tc>
          <w:tcPr>
            <w:tcW w:type="dxa" w:w="930"/>
            <w:vMerge w:val="restart"/>
            <w:tcBorders>
              <w:top w:val="none" w:color="000000" w:sz="4"/>
              <w:left w:val="none" w:color="000000" w:sz="4"/>
              <w:bottom w:val="single" w:color="000000" w:sz="4"/>
              <w:right w:val="single" w:color="000000" w:sz="4"/>
            </w:tcBorders>
            <w:vAlign w:val="top"/>
          </w:tcPr>
          <w:p>
            <w:pPr>
              <w:jc w:val="both"/>
            </w:pPr>
            <w:r>
              <w:rPr>
                <w:sz w:val="22"/>
              </w:rPr>
              <w:t>恶劣天气应急处置</w:t>
            </w:r>
          </w:p>
          <w:p>
            <w:pPr>
              <w:jc w:val="both"/>
            </w:pPr>
            <w:r>
              <w:rPr>
                <w:sz w:val="22"/>
              </w:rPr>
              <w:t>抢险抢修保通</w:t>
            </w:r>
          </w:p>
          <w:p>
            <w:pPr>
              <w:jc w:val="both"/>
            </w:pPr>
            <w:r>
              <w:rPr>
                <w:sz w:val="22"/>
              </w:rPr>
              <w:t>(40</w:t>
            </w:r>
            <w:r>
              <w:rPr>
                <w:sz w:val="22"/>
              </w:rPr>
              <w:t>分</w:t>
            </w:r>
            <w:r>
              <w:rPr>
                <w:sz w:val="22"/>
              </w:rPr>
              <w:t>)</w:t>
            </w:r>
          </w:p>
        </w:tc>
        <w:tc>
          <w:tcPr>
            <w:tcW w:type="dxa" w:w="2565"/>
            <w:tcBorders>
              <w:top w:val="none" w:color="000000" w:sz="4"/>
              <w:left w:val="none" w:color="000000" w:sz="4"/>
              <w:bottom w:val="single" w:color="000000" w:sz="4"/>
              <w:right w:val="single" w:color="000000" w:sz="4"/>
            </w:tcBorders>
            <w:vAlign w:val="top"/>
          </w:tcPr>
          <w:p>
            <w:pPr>
              <w:jc w:val="both"/>
            </w:pPr>
            <w:r>
              <w:rPr>
                <w:sz w:val="22"/>
              </w:rPr>
              <w:t>未配备抢险人员，设备，机械工具等</w:t>
            </w:r>
          </w:p>
        </w:tc>
        <w:tc>
          <w:tcPr>
            <w:tcW w:type="dxa" w:w="1065"/>
            <w:tcBorders>
              <w:top w:val="none" w:color="000000" w:sz="4"/>
              <w:left w:val="none" w:color="000000" w:sz="4"/>
              <w:bottom w:val="single" w:color="000000" w:sz="4"/>
              <w:right w:val="single" w:color="000000" w:sz="4"/>
            </w:tcBorders>
            <w:vAlign w:val="top"/>
          </w:tcPr>
          <w:p>
            <w:pPr>
              <w:jc w:val="both"/>
            </w:pPr>
            <w:r>
              <w:rPr>
                <w:sz w:val="22"/>
              </w:rPr>
              <w:t>扣</w:t>
            </w:r>
            <w:r>
              <w:rPr>
                <w:sz w:val="22"/>
              </w:rPr>
              <w:t>1.5</w:t>
            </w:r>
            <w:r>
              <w:rPr>
                <w:sz w:val="22"/>
              </w:rPr>
              <w:t>分</w:t>
            </w:r>
          </w:p>
        </w:tc>
        <w:tc>
          <w:tcPr>
            <w:tcW w:type="dxa" w:w="675"/>
            <w:tcBorders>
              <w:top w:val="none" w:color="000000" w:sz="4"/>
              <w:left w:val="none" w:color="000000" w:sz="4"/>
              <w:bottom w:val="single" w:color="000000" w:sz="4"/>
              <w:right w:val="single" w:color="000000" w:sz="4"/>
            </w:tcBorders>
            <w:vAlign w:val="top"/>
          </w:tcPr>
          <w:p>
            <w:pPr>
              <w:jc w:val="both"/>
            </w:pPr>
            <w:r>
              <w:rPr>
                <w:sz w:val="22"/>
              </w:rPr>
              <w:t>套</w:t>
            </w: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570"/>
            <w:tcBorders>
              <w:top w:val="none" w:color="000000" w:sz="4"/>
              <w:left w:val="none" w:color="000000" w:sz="4"/>
              <w:bottom w:val="single" w:color="000000" w:sz="4"/>
              <w:right w:val="single" w:color="000000" w:sz="4"/>
            </w:tcBorders>
            <w:vAlign w:val="top"/>
          </w:tcPr>
          <w:p>
            <w:pPr>
              <w:jc w:val="both"/>
            </w:pPr>
          </w:p>
        </w:tc>
      </w:tr>
      <w:tr>
        <w:tc>
          <w:tcPr>
            <w:tcW w:type="dxa" w:w="810"/>
            <w:vMerge/>
            <w:tcBorders>
              <w:top w:val="none" w:color="000000" w:sz="4"/>
              <w:left w:val="single" w:color="000000" w:sz="4"/>
              <w:bottom w:val="single" w:color="000000" w:sz="4"/>
              <w:right w:val="single" w:color="000000" w:sz="4"/>
            </w:tcBorders>
          </w:tcPr>
          <w:p/>
        </w:tc>
        <w:tc>
          <w:tcPr>
            <w:tcW w:type="dxa" w:w="930"/>
            <w:vMerge/>
            <w:tcBorders>
              <w:top w:val="none" w:color="000000" w:sz="4"/>
              <w:left w:val="none" w:color="000000" w:sz="4"/>
              <w:bottom w:val="single" w:color="000000" w:sz="4"/>
              <w:right w:val="single" w:color="000000" w:sz="4"/>
            </w:tcBorders>
          </w:tcPr>
          <w:p/>
        </w:tc>
        <w:tc>
          <w:tcPr>
            <w:tcW w:type="dxa" w:w="2565"/>
            <w:tcBorders>
              <w:top w:val="none" w:color="000000" w:sz="4"/>
              <w:left w:val="none" w:color="000000" w:sz="4"/>
              <w:bottom w:val="single" w:color="000000" w:sz="4"/>
              <w:right w:val="single" w:color="000000" w:sz="4"/>
            </w:tcBorders>
            <w:vAlign w:val="top"/>
          </w:tcPr>
          <w:p>
            <w:pPr>
              <w:jc w:val="both"/>
            </w:pPr>
            <w:r>
              <w:rPr>
                <w:sz w:val="22"/>
              </w:rPr>
              <w:t>没有进行常态化巡查和上报的</w:t>
            </w:r>
          </w:p>
        </w:tc>
        <w:tc>
          <w:tcPr>
            <w:tcW w:type="dxa" w:w="1065"/>
            <w:tcBorders>
              <w:top w:val="none" w:color="000000" w:sz="4"/>
              <w:left w:val="none" w:color="000000" w:sz="4"/>
              <w:bottom w:val="single" w:color="000000" w:sz="4"/>
              <w:right w:val="single" w:color="000000" w:sz="4"/>
            </w:tcBorders>
            <w:vAlign w:val="top"/>
          </w:tcPr>
          <w:p>
            <w:pPr>
              <w:jc w:val="both"/>
            </w:pPr>
            <w:r>
              <w:rPr>
                <w:sz w:val="22"/>
              </w:rPr>
              <w:t>扣</w:t>
            </w:r>
            <w:r>
              <w:rPr>
                <w:sz w:val="22"/>
              </w:rPr>
              <w:t>1</w:t>
            </w:r>
            <w:r>
              <w:rPr>
                <w:sz w:val="22"/>
              </w:rPr>
              <w:t>分</w:t>
            </w:r>
          </w:p>
        </w:tc>
        <w:tc>
          <w:tcPr>
            <w:tcW w:type="dxa" w:w="675"/>
            <w:tcBorders>
              <w:top w:val="none" w:color="000000" w:sz="4"/>
              <w:left w:val="none" w:color="000000" w:sz="4"/>
              <w:bottom w:val="single" w:color="000000" w:sz="4"/>
              <w:right w:val="single" w:color="000000" w:sz="4"/>
            </w:tcBorders>
            <w:vAlign w:val="top"/>
          </w:tcPr>
          <w:p>
            <w:pPr>
              <w:jc w:val="both"/>
            </w:pPr>
            <w:r>
              <w:rPr>
                <w:sz w:val="22"/>
              </w:rPr>
              <w:t>次</w:t>
            </w: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570"/>
            <w:tcBorders>
              <w:top w:val="none" w:color="000000" w:sz="4"/>
              <w:left w:val="none" w:color="000000" w:sz="4"/>
              <w:bottom w:val="single" w:color="000000" w:sz="4"/>
              <w:right w:val="single" w:color="000000" w:sz="4"/>
            </w:tcBorders>
            <w:vAlign w:val="top"/>
          </w:tcPr>
          <w:p>
            <w:pPr>
              <w:jc w:val="both"/>
            </w:pPr>
          </w:p>
        </w:tc>
      </w:tr>
      <w:tr>
        <w:tc>
          <w:tcPr>
            <w:tcW w:type="dxa" w:w="810"/>
            <w:vMerge/>
            <w:tcBorders>
              <w:top w:val="none" w:color="000000" w:sz="4"/>
              <w:left w:val="single" w:color="000000" w:sz="4"/>
              <w:bottom w:val="single" w:color="000000" w:sz="4"/>
              <w:right w:val="single" w:color="000000" w:sz="4"/>
            </w:tcBorders>
          </w:tcPr>
          <w:p/>
        </w:tc>
        <w:tc>
          <w:tcPr>
            <w:tcW w:type="dxa" w:w="930"/>
            <w:vMerge/>
            <w:tcBorders>
              <w:top w:val="none" w:color="000000" w:sz="4"/>
              <w:left w:val="none" w:color="000000" w:sz="4"/>
              <w:bottom w:val="single" w:color="000000" w:sz="4"/>
              <w:right w:val="single" w:color="000000" w:sz="4"/>
            </w:tcBorders>
          </w:tcPr>
          <w:p/>
        </w:tc>
        <w:tc>
          <w:tcPr>
            <w:tcW w:type="dxa" w:w="2565"/>
            <w:tcBorders>
              <w:top w:val="none" w:color="000000" w:sz="4"/>
              <w:left w:val="none" w:color="000000" w:sz="4"/>
              <w:bottom w:val="single" w:color="000000" w:sz="4"/>
              <w:right w:val="single" w:color="000000" w:sz="4"/>
            </w:tcBorders>
            <w:vAlign w:val="top"/>
          </w:tcPr>
          <w:p>
            <w:pPr>
              <w:jc w:val="both"/>
            </w:pPr>
            <w:r>
              <w:rPr>
                <w:sz w:val="22"/>
              </w:rPr>
              <w:t>未及时到现场处置的</w:t>
            </w:r>
          </w:p>
        </w:tc>
        <w:tc>
          <w:tcPr>
            <w:tcW w:type="dxa" w:w="1065"/>
            <w:tcBorders>
              <w:top w:val="none" w:color="000000" w:sz="4"/>
              <w:left w:val="none" w:color="000000" w:sz="4"/>
              <w:bottom w:val="single" w:color="000000" w:sz="4"/>
              <w:right w:val="single" w:color="000000" w:sz="4"/>
            </w:tcBorders>
            <w:vAlign w:val="top"/>
          </w:tcPr>
          <w:p>
            <w:pPr>
              <w:jc w:val="both"/>
            </w:pPr>
            <w:r>
              <w:rPr>
                <w:sz w:val="22"/>
              </w:rPr>
              <w:t>扣</w:t>
            </w:r>
            <w:r>
              <w:rPr>
                <w:sz w:val="22"/>
              </w:rPr>
              <w:t>2</w:t>
            </w:r>
            <w:r>
              <w:rPr>
                <w:sz w:val="22"/>
              </w:rPr>
              <w:t>分</w:t>
            </w:r>
          </w:p>
        </w:tc>
        <w:tc>
          <w:tcPr>
            <w:tcW w:type="dxa" w:w="675"/>
            <w:tcBorders>
              <w:top w:val="none" w:color="000000" w:sz="4"/>
              <w:left w:val="none" w:color="000000" w:sz="4"/>
              <w:bottom w:val="single" w:color="000000" w:sz="4"/>
              <w:right w:val="single" w:color="000000" w:sz="4"/>
            </w:tcBorders>
            <w:vAlign w:val="top"/>
          </w:tcPr>
          <w:p>
            <w:pPr>
              <w:jc w:val="both"/>
            </w:pPr>
            <w:r>
              <w:rPr>
                <w:sz w:val="22"/>
              </w:rPr>
              <w:t>次</w:t>
            </w: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675"/>
            <w:tcBorders>
              <w:top w:val="none" w:color="000000" w:sz="4"/>
              <w:left w:val="none" w:color="000000" w:sz="4"/>
              <w:bottom w:val="single" w:color="000000" w:sz="4"/>
              <w:right w:val="single" w:color="000000" w:sz="4"/>
            </w:tcBorders>
            <w:vAlign w:val="top"/>
          </w:tcPr>
          <w:p>
            <w:pPr>
              <w:jc w:val="both"/>
            </w:pPr>
          </w:p>
        </w:tc>
        <w:tc>
          <w:tcPr>
            <w:tcW w:type="dxa" w:w="570"/>
            <w:tcBorders>
              <w:top w:val="none" w:color="000000" w:sz="4"/>
              <w:left w:val="none" w:color="000000" w:sz="4"/>
              <w:bottom w:val="single" w:color="000000" w:sz="4"/>
              <w:right w:val="single" w:color="000000" w:sz="4"/>
            </w:tcBorders>
            <w:vAlign w:val="top"/>
          </w:tcPr>
          <w:p>
            <w:pPr>
              <w:jc w:val="both"/>
            </w:pPr>
          </w:p>
        </w:tc>
      </w:tr>
      <w:tr>
        <w:tc>
          <w:tcPr>
            <w:tcW w:type="dxa" w:w="1740"/>
            <w:gridSpan w:val="2"/>
            <w:tcBorders>
              <w:top w:val="none" w:color="000000" w:sz="4"/>
              <w:left w:val="single" w:color="000000" w:sz="4"/>
              <w:bottom w:val="single" w:color="000000" w:sz="4"/>
              <w:right w:val="single" w:color="000000" w:sz="4"/>
            </w:tcBorders>
            <w:vAlign w:val="top"/>
          </w:tcPr>
          <w:p>
            <w:pPr>
              <w:jc w:val="center"/>
            </w:pPr>
            <w:r>
              <w:rPr>
                <w:sz w:val="22"/>
              </w:rPr>
              <w:t>扣分合计</w:t>
            </w:r>
          </w:p>
        </w:tc>
        <w:tc>
          <w:tcPr>
            <w:tcW w:type="dxa" w:w="2565"/>
            <w:tcBorders>
              <w:top w:val="none" w:color="000000" w:sz="4"/>
              <w:left w:val="none" w:color="000000" w:sz="4"/>
              <w:bottom w:val="single" w:color="000000" w:sz="4"/>
              <w:right w:val="single" w:color="000000" w:sz="4"/>
            </w:tcBorders>
            <w:vAlign w:val="top"/>
          </w:tcPr>
          <w:p>
            <w:pPr>
              <w:jc w:val="center"/>
            </w:pPr>
          </w:p>
        </w:tc>
        <w:tc>
          <w:tcPr>
            <w:tcW w:type="dxa" w:w="1065"/>
            <w:tcBorders>
              <w:top w:val="none" w:color="000000" w:sz="4"/>
              <w:left w:val="none" w:color="000000" w:sz="4"/>
              <w:bottom w:val="single" w:color="000000" w:sz="4"/>
              <w:right w:val="single" w:color="000000" w:sz="4"/>
            </w:tcBorders>
            <w:vAlign w:val="top"/>
          </w:tcPr>
          <w:p>
            <w:pPr>
              <w:jc w:val="center"/>
            </w:pPr>
            <w:r>
              <w:rPr>
                <w:sz w:val="22"/>
              </w:rPr>
              <w:t>得分</w:t>
            </w:r>
          </w:p>
        </w:tc>
        <w:tc>
          <w:tcPr>
            <w:tcW w:type="dxa" w:w="2595"/>
            <w:gridSpan w:val="4"/>
            <w:tcBorders>
              <w:top w:val="none" w:color="000000" w:sz="4"/>
              <w:left w:val="none" w:color="000000" w:sz="4"/>
              <w:bottom w:val="single" w:color="000000" w:sz="4"/>
              <w:right w:val="single" w:color="000000" w:sz="4"/>
            </w:tcBorders>
            <w:vAlign w:val="top"/>
          </w:tcPr>
          <w:p>
            <w:pPr>
              <w:jc w:val="both"/>
            </w:pPr>
          </w:p>
          <w:p>
            <w:pPr>
              <w:jc w:val="both"/>
            </w:pPr>
          </w:p>
        </w:tc>
      </w:tr>
      <w:tr>
        <w:tc>
          <w:tcPr>
            <w:tcW w:type="dxa" w:w="6720"/>
            <w:gridSpan w:val="6"/>
            <w:tcBorders>
              <w:top w:val="none" w:color="000000" w:sz="4"/>
              <w:left w:val="none" w:color="000000" w:sz="4"/>
              <w:bottom w:val="none" w:color="000000" w:sz="4"/>
              <w:right w:val="none" w:color="000000" w:sz="4"/>
            </w:tcBorders>
            <w:vAlign w:val="top"/>
          </w:tcPr>
          <w:p>
            <w:pPr>
              <w:jc w:val="both"/>
            </w:pPr>
            <w:r>
              <w:rPr>
                <w:sz w:val="22"/>
              </w:rPr>
              <w:t>说明：</w:t>
            </w:r>
            <w:r>
              <w:rPr>
                <w:sz w:val="22"/>
              </w:rPr>
              <w:t>1</w:t>
            </w:r>
            <w:r>
              <w:rPr>
                <w:sz w:val="22"/>
              </w:rPr>
              <w:t>、评分时，以分为评分单位；</w:t>
            </w:r>
            <w:r>
              <w:rPr>
                <w:sz w:val="22"/>
              </w:rPr>
              <w:t xml:space="preserve">                                                                 </w:t>
            </w:r>
          </w:p>
        </w:tc>
        <w:tc>
          <w:tcPr>
            <w:tcW w:type="dxa" w:w="675"/>
            <w:tcBorders>
              <w:top w:val="none" w:color="000000" w:sz="4"/>
              <w:left w:val="none" w:color="000000" w:sz="4"/>
              <w:bottom w:val="none" w:color="000000" w:sz="4"/>
              <w:right w:val="none" w:color="000000" w:sz="4"/>
            </w:tcBorders>
            <w:vAlign w:val="top"/>
          </w:tcPr>
          <w:p>
            <w:pPr>
              <w:jc w:val="both"/>
            </w:pPr>
          </w:p>
        </w:tc>
        <w:tc>
          <w:tcPr>
            <w:tcW w:type="dxa" w:w="570"/>
            <w:tcBorders>
              <w:top w:val="none" w:color="000000" w:sz="4"/>
              <w:left w:val="none" w:color="000000" w:sz="4"/>
              <w:bottom w:val="none" w:color="000000" w:sz="4"/>
              <w:right w:val="none" w:color="000000" w:sz="4"/>
            </w:tcBorders>
            <w:vAlign w:val="top"/>
          </w:tcPr>
          <w:p>
            <w:pPr>
              <w:jc w:val="both"/>
            </w:pPr>
          </w:p>
        </w:tc>
      </w:tr>
      <w:tr>
        <w:tc>
          <w:tcPr>
            <w:tcW w:type="dxa" w:w="6720"/>
            <w:gridSpan w:val="6"/>
            <w:tcBorders>
              <w:top w:val="none" w:color="000000" w:sz="4"/>
              <w:left w:val="none" w:color="000000" w:sz="4"/>
              <w:bottom w:val="none" w:color="000000" w:sz="4"/>
              <w:right w:val="none" w:color="000000" w:sz="4"/>
            </w:tcBorders>
            <w:vAlign w:val="top"/>
          </w:tcPr>
          <w:p>
            <w:pPr>
              <w:jc w:val="both"/>
            </w:pPr>
            <w:r>
              <w:rPr>
                <w:sz w:val="21"/>
              </w:rPr>
              <w:t xml:space="preserve">      </w:t>
            </w:r>
            <w:r>
              <w:rPr>
                <w:sz w:val="22"/>
              </w:rPr>
              <w:t>2</w:t>
            </w:r>
            <w:r>
              <w:rPr>
                <w:sz w:val="22"/>
              </w:rPr>
              <w:t>、每项检评内容的扣分数大于该项满分时，得分为零。</w:t>
            </w:r>
          </w:p>
        </w:tc>
        <w:tc>
          <w:tcPr>
            <w:tcW w:type="dxa" w:w="675"/>
            <w:tcBorders>
              <w:top w:val="none" w:color="000000" w:sz="4"/>
              <w:left w:val="none" w:color="000000" w:sz="4"/>
              <w:bottom w:val="none" w:color="000000" w:sz="4"/>
              <w:right w:val="none" w:color="000000" w:sz="4"/>
            </w:tcBorders>
            <w:vAlign w:val="top"/>
          </w:tcPr>
          <w:p>
            <w:pPr>
              <w:jc w:val="both"/>
            </w:pPr>
          </w:p>
        </w:tc>
        <w:tc>
          <w:tcPr>
            <w:tcW w:type="dxa" w:w="570"/>
            <w:tcBorders>
              <w:top w:val="none" w:color="000000" w:sz="4"/>
              <w:left w:val="none" w:color="000000" w:sz="4"/>
              <w:bottom w:val="none" w:color="000000" w:sz="4"/>
              <w:right w:val="none" w:color="000000" w:sz="4"/>
            </w:tcBorders>
            <w:vAlign w:val="bottom"/>
          </w:tcPr>
          <w:p>
            <w:pPr>
              <w:jc w:val="both"/>
            </w:pPr>
          </w:p>
        </w:tc>
      </w:tr>
    </w:tbl>
    <w:p>
      <w:r>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440515-2023-01647</w:t>
      </w:r>
    </w:p>
    <w:p>
      <w:pPr>
        <w:jc w:val="center"/>
      </w:pPr>
      <w:r>
        <w:rPr>
          <w:b/>
          <w:sz w:val="24"/>
        </w:rPr>
        <w:t>采购项目编号：</w:t>
      </w:r>
      <w:r>
        <w:rPr>
          <w:b/>
          <w:sz w:val="24"/>
        </w:rPr>
        <w:t>HSCGZB202316</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汕头市澄海区地方公路管养中心公路日常养护服务市场化项目</w:t>
      </w:r>
      <w:r>
        <w:rPr>
          <w:u w:val="single"/>
        </w:rPr>
        <w:t>”</w:t>
      </w:r>
      <w:r>
        <w:rPr/>
        <w:t>项目的竞争性磋商[采购项目编号为：</w:t>
      </w:r>
      <w:r>
        <w:rPr>
          <w:u w:val="single"/>
        </w:rPr>
        <w:t>HSCGZB202316</w:t>
      </w:r>
      <w:r>
        <w:rPr/>
        <w:t>]，我方愿参与响应。</w:t>
      </w:r>
    </w:p>
    <w:p>
      <w:pPr>
        <w:ind w:firstLine="480"/>
      </w:pPr>
      <w:r>
        <w:rPr/>
        <w:t>我方确认收到贵方提供的</w:t>
      </w:r>
      <w:r>
        <w:rPr>
          <w:u w:val="single"/>
        </w:rPr>
        <w:t>“</w:t>
      </w:r>
      <w:r>
        <w:rPr>
          <w:u w:val="single"/>
        </w:rPr>
        <w:t>汕头市澄海区地方公路管养中心公路日常养护服务市场化项目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汕头市澄海区地方公路管养中心公路日常养护服务市场化项目</w:t>
      </w:r>
      <w:r>
        <w:rPr/>
        <w:t>”项目采购[采购项目编号为</w:t>
      </w:r>
      <w:r>
        <w:rPr/>
        <w:t>HSCGZB202316</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汕头市澄海区地方公路管养中心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汕头市澄海区地方公路管养中心公路日常养护服务市场化项目</w:t>
      </w:r>
      <w:r>
        <w:rPr/>
        <w:t>（采购项目编号：</w:t>
      </w:r>
      <w:r>
        <w:rPr/>
        <w:t>HSCGZB202316</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汕头市澄海区地方公路管养中心公路日常养护服务市场化项目</w:t>
      </w:r>
      <w:r>
        <w:rPr/>
        <w:t>”项目（采购项目编号：</w:t>
      </w:r>
      <w:r>
        <w:rPr/>
        <w:t>HSCGZB202316</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