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440515-2023-01657</w:t>
      </w:r>
    </w:p>
    <w:p>
      <w:pPr>
        <w:jc w:val="center"/>
      </w:pPr>
      <w:r>
        <w:rPr>
          <w:b/>
          <w:sz w:val="24"/>
        </w:rPr>
        <w:t>采购项目编号：</w:t>
      </w:r>
      <w:r>
        <w:rPr>
          <w:b/>
          <w:sz w:val="24"/>
        </w:rPr>
        <w:t>HSCGZB202315</w:t>
      </w:r>
    </w:p>
    <w:p>
      <w:pPr>
        <w:jc w:val="center"/>
      </w:pPr>
      <w:r>
        <w:rPr>
          <w:b/>
          <w:sz w:val="24"/>
        </w:rPr>
        <w:t>项目名称：</w:t>
      </w:r>
      <w:r>
        <w:rPr>
          <w:b/>
          <w:sz w:val="24"/>
        </w:rPr>
        <w:t>汕头市澄海区第三次全国土壤普查项目(二次)</w:t>
      </w:r>
    </w:p>
    <w:p>
      <w:pPr>
        <w:jc w:val="center"/>
      </w:pPr>
      <w:r>
        <w:rPr>
          <w:b/>
          <w:sz w:val="24"/>
        </w:rPr>
        <w:t>采购人：</w:t>
      </w:r>
      <w:r>
        <w:rPr>
          <w:b/>
          <w:sz w:val="24"/>
        </w:rPr>
        <w:t>汕头市澄海区农业农村局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汕头市澄海区农业农村局</w:t>
      </w:r>
      <w:r>
        <w:rPr/>
        <w:t>的委托，采用</w:t>
      </w:r>
      <w:r>
        <w:rPr/>
        <w:t>竞争性磋商</w:t>
      </w:r>
      <w:r>
        <w:rPr/>
        <w:t>方式组织采购</w:t>
      </w:r>
      <w:r>
        <w:rPr/>
        <w:t>汕头市澄海区第三次全国土壤普查项目(二次)</w:t>
      </w:r>
      <w:r>
        <w:rPr/>
        <w:t>。欢迎符合资格条件的供应商参加。</w:t>
      </w:r>
    </w:p>
    <w:p>
      <w:r>
        <w:rPr>
          <w:b/>
          <w:sz w:val="28"/>
        </w:rPr>
        <w:t>一.项目概述</w:t>
      </w:r>
    </w:p>
    <w:p>
      <w:r>
        <w:rPr>
          <w:b/>
          <w:sz w:val="24"/>
        </w:rPr>
        <w:t>1.名称与编号</w:t>
      </w:r>
    </w:p>
    <w:p>
      <w:pPr>
        <w:ind w:firstLine="480"/>
      </w:pPr>
      <w:r>
        <w:rPr/>
        <w:t>采购项目名称：</w:t>
      </w:r>
      <w:r>
        <w:rPr/>
        <w:t>汕头市澄海区第三次全国土壤普查项目(二次)</w:t>
      </w:r>
    </w:p>
    <w:p>
      <w:pPr>
        <w:ind w:firstLine="480"/>
      </w:pPr>
      <w:r>
        <w:rPr/>
        <w:t>采购计划编号：</w:t>
      </w:r>
      <w:r>
        <w:rPr/>
        <w:t>440515-2023-01657</w:t>
      </w:r>
    </w:p>
    <w:p>
      <w:pPr>
        <w:ind w:firstLine="480"/>
      </w:pPr>
      <w:r>
        <w:rPr/>
        <w:t>采购项目编号：</w:t>
      </w:r>
      <w:r>
        <w:rPr/>
        <w:t>HSCGZB202315</w:t>
      </w:r>
    </w:p>
    <w:p>
      <w:pPr>
        <w:ind w:firstLine="480"/>
      </w:pPr>
      <w:r>
        <w:rPr/>
        <w:t>采购方式：</w:t>
      </w:r>
      <w:r>
        <w:rPr/>
        <w:t>竞争性磋商</w:t>
      </w:r>
    </w:p>
    <w:p>
      <w:pPr>
        <w:ind w:firstLine="480"/>
      </w:pPr>
      <w:r>
        <w:rPr/>
        <w:t>预算金额：</w:t>
      </w:r>
      <w:r>
        <w:rPr/>
        <w:t>243,897.52</w:t>
      </w:r>
      <w:r>
        <w:rPr/>
        <w:t>元</w:t>
      </w:r>
    </w:p>
    <w:p>
      <w:r>
        <w:rPr>
          <w:b/>
          <w:sz w:val="24"/>
        </w:rPr>
        <w:t>2.项目内容及需求情况（采购项目技术规格、参数及要求）</w:t>
      </w:r>
    </w:p>
    <w:p>
      <w:pPr>
        <w:ind w:firstLine="480"/>
      </w:pPr>
    </w:p>
    <w:p/>
    <w:p>
      <w:r>
        <w:rPr/>
        <w:t>采购包1(澄海区第三次全国土壤普查全过程质量控制):</w:t>
      </w:r>
    </w:p>
    <w:p>
      <w:r>
        <w:rPr/>
        <w:t>采购包预算金额：243,897.52元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其他农业服务</w:t>
            </w:r>
          </w:p>
        </w:tc>
        <w:tc>
          <w:tcPr>
            <w:tcW w:type="dxa" w:w="2136"/>
          </w:tcPr>
          <w:p>
            <w:r>
              <w:rPr/>
              <w:t>澄海区第三次全国土壤普查全过程质量控制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合同履行期限：自合同签订之日起至2025年5月31日完成并通过上级验收合格。</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采购包1（澄海区第三次全国土壤普查全过程质量控制）：</w:t>
      </w:r>
      <w:r>
        <w:rPr/>
        <w:t>本项目不属于专门面向中小企业（中小微企业、监狱企业、残疾人福利性单位）采购的项目，但落实促进中小企业发展政策、支持监狱企业发展政策、支持残疾人福利性单位发展政策、采购节能产品、环境标志产品相关政策等。</w:t>
      </w:r>
    </w:p>
    <w:p/>
    <w:p>
      <w:r>
        <w:rPr>
          <w:b/>
          <w:sz w:val="24"/>
        </w:rPr>
        <w:t>3.本项目特定的资格要求：</w:t>
      </w:r>
    </w:p>
    <w:p>
      <w:pPr>
        <w:ind w:firstLine="480"/>
      </w:pPr>
    </w:p>
    <w:p/>
    <w:p>
      <w:r>
        <w:rPr/>
        <w:t>采购包1（澄海区第三次全国土壤普查全过程质量控制）：</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3)本采购包不接受联合体响应。</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汕头市澄海区农业农村局</w:t>
      </w:r>
    </w:p>
    <w:p>
      <w:pPr>
        <w:ind w:firstLine="480"/>
      </w:pPr>
      <w:r>
        <w:rPr/>
        <w:t>地址：</w:t>
      </w:r>
      <w:r>
        <w:rPr/>
        <w:t>汕头市澄海区文冠路党政大楼5楼</w:t>
      </w:r>
    </w:p>
    <w:p>
      <w:pPr>
        <w:ind w:firstLine="480"/>
      </w:pPr>
      <w:r>
        <w:rPr/>
        <w:t>联系方式：</w:t>
      </w:r>
      <w:r>
        <w:rPr/>
        <w:t>0754-85856092</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sz w:val="21"/>
        </w:rPr>
        <w:t>（一）项目实施的目的和意义</w:t>
      </w:r>
    </w:p>
    <w:p>
      <w:pPr>
        <w:ind w:firstLine="420"/>
        <w:jc w:val="both"/>
      </w:pPr>
      <w:r>
        <w:rPr>
          <w:sz w:val="21"/>
        </w:rPr>
        <w:t>第三次全国土壤普查是国务院部署的一项重要国情国力调查，在第二次全国土壤普查成果基础上，全面查清土壤类型及分布规律、土壤资源现状及变化趋势，真实准确掌握土壤质量、属性和利用状况等基础数据，为土壤的科学分类、规划利用、改良培肥、保护管理等提供科学支撑，也为经济社会生态建设重大政策的指定提供决策依据，是落实</w:t>
      </w:r>
      <w:r>
        <w:rPr>
          <w:sz w:val="21"/>
        </w:rPr>
        <w:t>“藏粮于地、藏</w:t>
      </w:r>
      <w:r>
        <w:rPr>
          <w:sz w:val="21"/>
        </w:rPr>
        <w:t>粮于技</w:t>
      </w:r>
      <w:r>
        <w:rPr>
          <w:sz w:val="21"/>
        </w:rPr>
        <w:t>”战略，守劳耕地红线确保国家粮食安全的重要基础，是落实高质量发展要求加快农业农村现代化的有力支撑，是保护环境促进生态文明建设的重要举措，是优化农业生产布局助力乡村产业振兴的有效途径。</w:t>
      </w:r>
    </w:p>
    <w:p>
      <w:pPr>
        <w:ind w:firstLine="420"/>
        <w:jc w:val="both"/>
      </w:pPr>
      <w:r>
        <w:rPr>
          <w:sz w:val="21"/>
        </w:rPr>
        <w:t>（二）项目工作方案</w:t>
      </w:r>
    </w:p>
    <w:p>
      <w:pPr>
        <w:ind w:firstLine="420"/>
        <w:jc w:val="both"/>
      </w:pPr>
      <w:r>
        <w:rPr>
          <w:sz w:val="21"/>
        </w:rPr>
        <w:t>根据国家、省第三次全国土壤普查工作的部署要求，汕头市第三次全国土壤普查工作今年全面启动。</w:t>
      </w:r>
    </w:p>
    <w:p>
      <w:pPr>
        <w:ind w:firstLine="420"/>
        <w:jc w:val="both"/>
      </w:pPr>
      <w:r>
        <w:rPr>
          <w:sz w:val="21"/>
        </w:rPr>
        <w:t>为加强对全区第三次全国土壤普查工作的组织领导和统筹协调，澄海区成立了第三次全国土壤普查领导小组，下设办公室，挂靠在区农业农村局，办公室组建了综合组、技术指导和工作平台组、工作督导组并明确各组的具体职责任务。</w:t>
      </w:r>
    </w:p>
    <w:p>
      <w:pPr>
        <w:ind w:firstLine="420"/>
        <w:jc w:val="both"/>
      </w:pPr>
      <w:r>
        <w:rPr>
          <w:sz w:val="21"/>
        </w:rPr>
        <w:t>为贯彻落实《国务院关于开展第三次全国土壤普查的通知》（国发〔</w:t>
      </w:r>
      <w:r>
        <w:rPr>
          <w:sz w:val="21"/>
        </w:rPr>
        <w:t>2022</w:t>
      </w:r>
      <w:r>
        <w:rPr>
          <w:sz w:val="21"/>
        </w:rPr>
        <w:t>〕</w:t>
      </w:r>
      <w:r>
        <w:rPr>
          <w:sz w:val="21"/>
        </w:rPr>
        <w:t>4</w:t>
      </w:r>
      <w:r>
        <w:rPr>
          <w:sz w:val="21"/>
        </w:rPr>
        <w:t>号）、《第三次全国土壤普查工作方案》（农建发〔</w:t>
      </w:r>
      <w:r>
        <w:rPr>
          <w:sz w:val="21"/>
        </w:rPr>
        <w:t>2022</w:t>
      </w:r>
      <w:r>
        <w:rPr>
          <w:sz w:val="21"/>
        </w:rPr>
        <w:t>〕</w:t>
      </w:r>
      <w:r>
        <w:rPr>
          <w:sz w:val="21"/>
        </w:rPr>
        <w:t>1</w:t>
      </w:r>
      <w:r>
        <w:rPr>
          <w:sz w:val="21"/>
        </w:rPr>
        <w:t>号）和《广东省人民政府转发国务院关于开展第三次全国土壤普查的通知》（粤府〔</w:t>
      </w:r>
      <w:r>
        <w:rPr>
          <w:sz w:val="21"/>
        </w:rPr>
        <w:t>2022</w:t>
      </w:r>
      <w:r>
        <w:rPr>
          <w:sz w:val="21"/>
        </w:rPr>
        <w:t>〕</w:t>
      </w:r>
      <w:r>
        <w:rPr>
          <w:sz w:val="21"/>
        </w:rPr>
        <w:t>26</w:t>
      </w:r>
      <w:r>
        <w:rPr>
          <w:sz w:val="21"/>
        </w:rPr>
        <w:t>号）精神，保障澄海区第三次全国土壤普查工作顺利开展，澄海区参考《广东省第三次全国土壤普查实施方案》（粤农农函〔</w:t>
      </w:r>
      <w:r>
        <w:rPr>
          <w:sz w:val="21"/>
        </w:rPr>
        <w:t>2022</w:t>
      </w:r>
      <w:r>
        <w:rPr>
          <w:sz w:val="21"/>
        </w:rPr>
        <w:t>〕</w:t>
      </w:r>
      <w:r>
        <w:rPr>
          <w:sz w:val="21"/>
        </w:rPr>
        <w:t>771</w:t>
      </w:r>
      <w:r>
        <w:rPr>
          <w:sz w:val="21"/>
        </w:rPr>
        <w:t>号）并结合澄海区实际，制订了《汕头市澄海区第三次全国土壤普查工作方案》。</w:t>
      </w:r>
    </w:p>
    <w:p>
      <w:pPr>
        <w:ind w:firstLine="420"/>
        <w:jc w:val="both"/>
      </w:pPr>
      <w:r>
        <w:rPr>
          <w:sz w:val="21"/>
        </w:rPr>
        <w:t>项目实施内容包括全过程质量控制。</w:t>
      </w:r>
    </w:p>
    <w:p>
      <w:pPr>
        <w:ind w:firstLine="420"/>
        <w:jc w:val="both"/>
      </w:pPr>
      <w:r>
        <w:rPr>
          <w:sz w:val="21"/>
        </w:rPr>
        <w:t>汕头市澄海区第三次全国土壤普查项目主要任务有：省第三次全国土壤普查领导小组办公室下达给澄海区的任务是：（1）完成146个点位土壤表层样品（其中：耕地52个、园地77个、林地11个、草地6个）的外业调查与采集、样品流转与制备以及样品分析检测，其中：样品流转与制备由汕头市统筹；（2）完成18个点位土壤剖面（其中：7个耕地、10个园地、1个林地）的不同发生层土壤样品的外业调查与采集、样品流转与制备以及样品分析检测；（3）完成本级外业和内业工作质控，配合省级外业和内业工作质控；（4）提交土壤普查数据/数据库、图件和文字报告等各类成果。</w:t>
      </w:r>
    </w:p>
    <w:p/>
    <w:p>
      <w:pPr>
        <w:ind w:firstLine="480"/>
      </w:pPr>
    </w:p>
    <w:p/>
    <w:p>
      <w:r>
        <w:rPr/>
        <w:t>采购包1（澄海区第三次全国土壤普查全过程质量控制）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服务期限：自合同签订之日起至2025年5月31日完成并通过上级验收合格。 任务完成进度见技术（参数）要求所列。</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1期：支付比例30%,双方签订合同之日起15个工作日内，采购人向成交供应商支付合同总价30%。</w:t>
            </w:r>
          </w:p>
          <w:p/>
          <w:p>
            <w:r>
              <w:rPr/>
              <w:t>2期：支付比例50%,成交供应商完成外业调查与采样工作环节质控任务的100%（以样品数量计算），完成内业检测数据质控任务的100%（以样品数量计算），并提交阶段性工作报告1份以及工作过程佐证材料。经采购人确认后，向成交供应商支付至合同总价的80%。</w:t>
            </w:r>
          </w:p>
          <w:p/>
          <w:p>
            <w:r>
              <w:rPr/>
              <w:t>3期：支付比例20%,成交供应商提交质控报告1份，提供全过程工作佐证材料以及省级质控单位对外业调查与采样以及内业检测化验数据审核通过意见。通过采购人组织的专家验收后15个工作日内，向成交供应商支付至合同总价的100%。</w:t>
            </w:r>
          </w:p>
        </w:tc>
      </w:tr>
      <w:tr>
        <w:tc>
          <w:tcPr>
            <w:tcW w:type="dxa" w:w="4153"/>
          </w:tcPr>
          <w:p>
            <w:r>
              <w:rPr/>
              <w:t>验收要求</w:t>
            </w:r>
          </w:p>
        </w:tc>
        <w:tc>
          <w:tcPr>
            <w:tcW w:type="dxa" w:w="4153"/>
          </w:tcPr>
          <w:p/>
          <w:p/>
          <w:p/>
          <w:p>
            <w:r>
              <w:rPr/>
              <w:t>1期：由采购人组织专家小组进行项目验收。项目成果文件按政府采购规定、程序、验收要求以及广东省或国家第三次全国土壤普查领导小组办公室的要求准备。</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支付时效说明，因采购人使用的是财政资金，所以采购人在前款规定的时间内支付成交供应商实际是向财政部门申请办理拨款支付的时间而不是实际支付的时间。成交供应商在规定时间内向采购人申请支付，采购人按期向财政部门申请拨款支付，成交供应商不得以此作为采购人的违约考量依据。 （2）合同期内如发生人身安全及其他事故，一切责任和经济补偿均由成交供应商负责。 （3）成交供应商不得将本项目转包给第三方。 （4）成交供应商须在采购人要求的时间进度内完成本采购项目所有工作内容及相关服务。在项目实施过程中， 采购人发现成交供应商存在人员不到位、管理混乱、技术力量不足等可能导致项目无法按时完成的问题，有权要求成交供应商进行整改，经整改后仍不符合要求时，有权终止合同。成交供应商不能按要求履约，采购人有权终止合同关系，并追究成交供应商的违约责任。</w:t>
            </w:r>
          </w:p>
        </w:tc>
      </w:tr>
    </w:tbl>
    <w:p/>
    <w:p>
      <w:r>
        <w:rPr/>
        <w:t>其他商务需求</w:t>
      </w:r>
    </w:p>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pPr>
              <w:jc w:val="center"/>
            </w:pPr>
            <w:r>
              <w:rPr/>
              <w:t>▲</w:t>
            </w:r>
          </w:p>
        </w:tc>
        <w:tc>
          <w:tcPr>
            <w:tcW w:type="dxa" w:w="2076"/>
          </w:tcPr>
          <w:p>
            <w:pPr>
              <w:jc w:val="center"/>
            </w:pPr>
            <w:r>
              <w:rPr/>
              <w:t>2</w:t>
            </w:r>
          </w:p>
        </w:tc>
        <w:tc>
          <w:tcPr>
            <w:tcW w:type="dxa" w:w="2076"/>
          </w:tcPr>
          <w:p>
            <w:pPr>
              <w:jc w:val="left"/>
            </w:pPr>
            <w:r>
              <w:rPr/>
              <w:t>报价要求</w:t>
            </w:r>
          </w:p>
        </w:tc>
        <w:tc>
          <w:tcPr>
            <w:tcW w:type="dxa" w:w="2076"/>
          </w:tcPr>
          <w:p>
            <w:pPr>
              <w:jc w:val="left"/>
            </w:pPr>
            <w:r>
              <w:rPr/>
              <w:t>项目采购预算金额为人民币243897.52元。包含各种人力成本、拟投入设备成本以及项目实施过程中其它可预见和不可预见的一切费用。所有价格均应为人民币报价，金额单位为元。</w:t>
            </w:r>
          </w:p>
        </w:tc>
      </w:tr>
      <w:tr>
        <w:tc>
          <w:tcPr>
            <w:tcW w:type="dxa" w:w="2076"/>
          </w:tcPr>
          <w:p>
            <w:pPr>
              <w:jc w:val="center"/>
            </w:pPr>
            <w:r>
              <w:rPr/>
              <w:t>★</w:t>
            </w:r>
          </w:p>
        </w:tc>
        <w:tc>
          <w:tcPr>
            <w:tcW w:type="dxa" w:w="2076"/>
          </w:tcPr>
          <w:p>
            <w:pPr>
              <w:jc w:val="center"/>
            </w:pPr>
            <w:r>
              <w:rPr/>
              <w:t>3</w:t>
            </w:r>
          </w:p>
        </w:tc>
        <w:tc>
          <w:tcPr>
            <w:tcW w:type="dxa" w:w="2076"/>
          </w:tcPr>
          <w:p>
            <w:pPr>
              <w:jc w:val="left"/>
            </w:pPr>
            <w:r>
              <w:rPr/>
              <w:t>报价要求</w:t>
            </w:r>
          </w:p>
        </w:tc>
        <w:tc>
          <w:tcPr>
            <w:tcW w:type="dxa" w:w="2076"/>
          </w:tcPr>
          <w:p>
            <w:pPr>
              <w:jc w:val="left"/>
            </w:pPr>
            <w:r>
              <w:rPr/>
              <w:t>供应商报价不得高于项目采购预算金额，否则按无效响应处理。取成交供应商的报价作为合同价。</w:t>
            </w:r>
          </w:p>
        </w:tc>
      </w:tr>
      <w:tr>
        <w:tc>
          <w:tcPr>
            <w:tcW w:type="dxa" w:w="2076"/>
          </w:tcPr>
          <w:p>
            <w:pPr>
              <w:jc w:val="center"/>
            </w:pPr>
          </w:p>
        </w:tc>
        <w:tc>
          <w:tcPr>
            <w:tcW w:type="dxa" w:w="2076"/>
          </w:tcPr>
          <w:p>
            <w:pPr>
              <w:jc w:val="center"/>
            </w:pPr>
            <w:r>
              <w:rPr/>
              <w:t>4</w:t>
            </w:r>
          </w:p>
        </w:tc>
        <w:tc>
          <w:tcPr>
            <w:tcW w:type="dxa" w:w="2076"/>
          </w:tcPr>
          <w:p>
            <w:pPr>
              <w:jc w:val="left"/>
            </w:pPr>
            <w:r>
              <w:rPr/>
              <w:t>经验要求</w:t>
            </w:r>
          </w:p>
        </w:tc>
        <w:tc>
          <w:tcPr>
            <w:tcW w:type="dxa" w:w="2076"/>
          </w:tcPr>
          <w:p>
            <w:pPr>
              <w:jc w:val="left"/>
            </w:pPr>
            <w:r>
              <w:rPr/>
              <w:t>供应商成交后必须制定具体详细的，可操作性强的项目实施方案，同时必须有详细项目管理组织架构，拟定的项目负责人应具备高级职称，且具有广东省第三次全国土壤普查表层样点外业调查采样领队（质量检查员）资格证书（提供原件）以及主持至少1项土壤环境调查或保护项目的专业水平和经验。</w:t>
            </w:r>
          </w:p>
        </w:tc>
      </w:tr>
      <w:tr>
        <w:tc>
          <w:tcPr>
            <w:tcW w:type="dxa" w:w="2076"/>
          </w:tcPr>
          <w:p>
            <w:pPr>
              <w:jc w:val="center"/>
            </w:pPr>
          </w:p>
        </w:tc>
        <w:tc>
          <w:tcPr>
            <w:tcW w:type="dxa" w:w="2076"/>
          </w:tcPr>
          <w:p>
            <w:pPr>
              <w:jc w:val="center"/>
            </w:pPr>
            <w:r>
              <w:rPr/>
              <w:t>5</w:t>
            </w:r>
          </w:p>
        </w:tc>
        <w:tc>
          <w:tcPr>
            <w:tcW w:type="dxa" w:w="2076"/>
          </w:tcPr>
          <w:p>
            <w:pPr>
              <w:jc w:val="left"/>
            </w:pPr>
            <w:r>
              <w:rPr/>
              <w:t>合同条款响应</w:t>
            </w:r>
          </w:p>
        </w:tc>
        <w:tc>
          <w:tcPr>
            <w:tcW w:type="dxa" w:w="2076"/>
          </w:tcPr>
          <w:p>
            <w:pPr>
              <w:jc w:val="left"/>
            </w:pPr>
            <w:r>
              <w:rPr/>
              <w:t>同意接受合同范本所列述的各项条款。</w:t>
            </w:r>
          </w:p>
        </w:tc>
      </w:tr>
      <w:tr>
        <w:tc>
          <w:tcPr>
            <w:tcW w:type="dxa" w:w="2076"/>
          </w:tcPr>
          <w:p>
            <w:pPr>
              <w:jc w:val="center"/>
            </w:pPr>
          </w:p>
        </w:tc>
        <w:tc>
          <w:tcPr>
            <w:tcW w:type="dxa" w:w="2076"/>
          </w:tcPr>
          <w:p>
            <w:pPr>
              <w:jc w:val="center"/>
            </w:pPr>
            <w:r>
              <w:rPr/>
              <w:t>6</w:t>
            </w:r>
          </w:p>
        </w:tc>
        <w:tc>
          <w:tcPr>
            <w:tcW w:type="dxa" w:w="2076"/>
          </w:tcPr>
          <w:p>
            <w:pPr>
              <w:jc w:val="left"/>
            </w:pPr>
            <w:r>
              <w:rPr/>
              <w:t>结算要求</w:t>
            </w:r>
          </w:p>
        </w:tc>
        <w:tc>
          <w:tcPr>
            <w:tcW w:type="dxa" w:w="2076"/>
          </w:tcPr>
          <w:p>
            <w:pPr>
              <w:jc w:val="left"/>
            </w:pPr>
            <w:r>
              <w:rPr/>
              <w:t>服务费按中标价总价包干，若出现更改等情况时，服务费用不得增加。</w:t>
            </w:r>
          </w:p>
        </w:tc>
      </w:tr>
      <w:tr>
        <w:tc>
          <w:tcPr>
            <w:tcW w:type="dxa" w:w="2076"/>
          </w:tcPr>
          <w:p>
            <w:pPr>
              <w:jc w:val="center"/>
            </w:pPr>
          </w:p>
        </w:tc>
        <w:tc>
          <w:tcPr>
            <w:tcW w:type="dxa" w:w="2076"/>
          </w:tcPr>
          <w:p>
            <w:pPr>
              <w:jc w:val="center"/>
            </w:pPr>
            <w:r>
              <w:rPr/>
              <w:t>7</w:t>
            </w:r>
          </w:p>
        </w:tc>
        <w:tc>
          <w:tcPr>
            <w:tcW w:type="dxa" w:w="2076"/>
          </w:tcPr>
          <w:p>
            <w:pPr>
              <w:jc w:val="left"/>
            </w:pPr>
            <w:r>
              <w:rPr/>
              <w:t>保密要求</w:t>
            </w:r>
          </w:p>
        </w:tc>
        <w:tc>
          <w:tcPr>
            <w:tcW w:type="dxa" w:w="2076"/>
          </w:tcPr>
          <w:p>
            <w:pPr>
              <w:jc w:val="left"/>
            </w:pPr>
            <w:r>
              <w:rPr/>
              <w:t>供应商须严格遵守《中华人民共和国保守国家秘密法》、本项目相关成果保密制度等相关规定，防止涉密信息泄露，提供《供应商保密承诺书》（格式自拟）。</w:t>
            </w:r>
          </w:p>
        </w:tc>
      </w:tr>
      <w:tr>
        <w:tc>
          <w:tcPr>
            <w:tcW w:type="dxa" w:w="2076"/>
          </w:tcPr>
          <w:p>
            <w:pPr>
              <w:jc w:val="center"/>
            </w:pPr>
          </w:p>
        </w:tc>
        <w:tc>
          <w:tcPr>
            <w:tcW w:type="dxa" w:w="2076"/>
          </w:tcPr>
          <w:p>
            <w:pPr>
              <w:jc w:val="center"/>
            </w:pPr>
            <w:r>
              <w:rPr/>
              <w:t>8</w:t>
            </w:r>
          </w:p>
        </w:tc>
        <w:tc>
          <w:tcPr>
            <w:tcW w:type="dxa" w:w="2076"/>
          </w:tcPr>
          <w:p>
            <w:pPr>
              <w:jc w:val="left"/>
            </w:pPr>
            <w:r>
              <w:rPr/>
              <w:t>售后服务</w:t>
            </w:r>
          </w:p>
        </w:tc>
        <w:tc>
          <w:tcPr>
            <w:tcW w:type="dxa" w:w="2076"/>
          </w:tcPr>
          <w:p>
            <w:pPr>
              <w:jc w:val="left"/>
            </w:pPr>
            <w:r>
              <w:rPr/>
              <w:t>成交供应商须配合采购人完成整体项目的质控工作。项目完成后，成交供应商有义务根据广东省或国家第三次全国土壤普查领导小组办公室的要求，协助澄海区农业农村局修改并完善第三次全国土壤普查质量控制相关资料。</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其他农业服务</w:t>
            </w:r>
          </w:p>
        </w:tc>
        <w:tc>
          <w:tcPr>
            <w:tcW w:type="dxa" w:w="933"/>
          </w:tcPr>
          <w:p>
            <w:pPr>
              <w:jc w:val="left"/>
            </w:pPr>
            <w:r>
              <w:rPr/>
              <w:t>澄海区第三次全国土壤普查全过程质量控制</w:t>
            </w:r>
          </w:p>
        </w:tc>
        <w:tc>
          <w:tcPr>
            <w:tcW w:type="dxa" w:w="933"/>
          </w:tcPr>
          <w:p>
            <w:pPr>
              <w:jc w:val="left"/>
            </w:pPr>
            <w:r>
              <w:rPr/>
              <w:t>项</w:t>
            </w:r>
          </w:p>
        </w:tc>
        <w:tc>
          <w:tcPr>
            <w:tcW w:type="dxa" w:w="933"/>
          </w:tcPr>
          <w:p>
            <w:pPr>
              <w:jc w:val="right"/>
            </w:pPr>
            <w:r>
              <w:rPr/>
              <w:t>1.00</w:t>
            </w:r>
          </w:p>
        </w:tc>
        <w:tc>
          <w:tcPr>
            <w:tcW w:type="dxa" w:w="933"/>
          </w:tcPr>
          <w:p>
            <w:pPr>
              <w:jc w:val="right"/>
            </w:pPr>
            <w:r>
              <w:rPr/>
              <w:t>243,897.52</w:t>
            </w:r>
          </w:p>
        </w:tc>
        <w:tc>
          <w:tcPr>
            <w:tcW w:type="dxa" w:w="933"/>
          </w:tcPr>
          <w:p>
            <w:pPr>
              <w:jc w:val="right"/>
            </w:pPr>
            <w:r>
              <w:rPr/>
              <w:t>243,897.52</w:t>
            </w:r>
          </w:p>
        </w:tc>
        <w:tc>
          <w:tcPr>
            <w:tcW w:type="dxa" w:w="840"/>
          </w:tcPr>
          <w:p>
            <w:r>
              <w:rPr/>
              <w:t>农、林、牧、渔业</w:t>
            </w:r>
          </w:p>
        </w:tc>
        <w:tc>
          <w:tcPr>
            <w:tcW w:type="dxa" w:w="933"/>
          </w:tcPr>
          <w:p>
            <w:r>
              <w:rPr/>
              <w:t>详见附表一</w:t>
            </w:r>
          </w:p>
        </w:tc>
      </w:tr>
    </w:tbl>
    <w:p/>
    <w:p>
      <w:r>
        <w:rPr>
          <w:b/>
        </w:rPr>
        <w:t>附表</w:t>
      </w:r>
      <w:r>
        <w:rPr>
          <w:b/>
        </w:rPr>
        <w:t>一</w:t>
      </w:r>
      <w:r>
        <w:rPr>
          <w:b/>
        </w:rPr>
        <w:t>：</w:t>
      </w:r>
      <w:r>
        <w:rPr>
          <w:b/>
        </w:rPr>
        <w:t>澄海区第三次全国土壤普查全过程质量控制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1"/>
              </w:rPr>
              <w:t>一</w:t>
            </w:r>
            <w:r>
              <w:rPr>
                <w:sz w:val="21"/>
              </w:rPr>
              <w:t>、项目背景</w:t>
            </w:r>
          </w:p>
          <w:p>
            <w:pPr>
              <w:jc w:val="left"/>
            </w:pPr>
            <w:r>
              <w:rPr>
                <w:sz w:val="21"/>
              </w:rPr>
              <w:t>按照党中央、国务院有关决策部署，为全面掌握我国土壤资源情况，国务院决定自2022年起开展第三次全国土壤普查。第三次全国土壤普查是国务院部署的一项重要国情国力调查，在第二次全国土壤普查成果基础上，全面查清土壤类型及分布规律、土壤资源现状及变化趋势，真实准确掌握土壤质量、属性和利用状况等基础数据，为土壤的科学分类、规划利用、改良培肥、保护管理等提供科学支撑，也为经济社会生态建设重大政策的制定提供决策依据，是落实“藏粮于地、藏粮于技”战略，是守牢耕地红线和确保国家粮食安全的重要基础，是落实高质量发展要求加快农业农村现代化的有力支撑，是保护环境促进生态文明建设的重要举措，是优化农业生产布局助力乡村产业振兴的有效途径。</w:t>
            </w:r>
          </w:p>
          <w:p>
            <w:pPr>
              <w:jc w:val="left"/>
            </w:pPr>
            <w:r>
              <w:rPr>
                <w:sz w:val="21"/>
              </w:rPr>
              <w:t>第三次全国土壤普查的总体思路和目标是：全面贯彻党的二十大、十九大和十九届历次全会精神，深入落实党中央、国务院关于耕地保护建设和生态文明建设的决策部署；遵循土壤普查的全面性、科学性、专业性原则，衔接已有成果，借鉴以往经验做法，坚持摸清土壤质量与完善土壤类型相结合、土壤性状普查与土壤利用调查相结合、外业调查观测与内业测试化验相结合、土壤表层采样与重点剖面采集相结合、摸清土壤障碍因素与提出改良培肥措施相结合、政府主导与专业支撑相结合，统一普查工作平台、统一技术规程、统一工作底图、统一规划布设采样点位、统一筛选测试化验专业机构、统一过程质控；按照“统一领导、部门协作、分级负责、各方参与”的组织实施方式，到2025年实现对全国耕地、园地、林地、草地等土壤的“全面体检”，摸清土壤质量家底，为守住耕地红线、保护生态环境、优化农业生产布局、推进农业高质量发展奠定坚实基础。</w:t>
            </w:r>
          </w:p>
          <w:p>
            <w:pPr>
              <w:jc w:val="left"/>
            </w:pPr>
            <w:r>
              <w:rPr>
                <w:sz w:val="21"/>
              </w:rPr>
              <w:t>2022年2月17日，国务院第三次全国土壤普查领导小组办公室于发布了第三次全国土壤普查工作方案（农建发〔2022〕1号）。方案针对全国耕地、园地、林地、草地等农用地和部分未利用地的土壤，以完善土壤分类系统与校核补充土壤类型为基础，以土壤理化性状普查为重点，旨在更新和完善全国土壤基础数据，构建土壤数据库和样品库，开展数据整理审核、分析和成果汇总。以达到查清不同生态条件、不同利用类型土壤质量及其退化与障碍状况，摸清特色农产品产地土壤特征、耕地后备资源土壤质量、典型区域土壤环境和生物多样性等，全面查清农用地土壤质量家底的目的。</w:t>
            </w:r>
          </w:p>
          <w:p>
            <w:pPr>
              <w:jc w:val="left"/>
            </w:pPr>
            <w:r>
              <w:rPr>
                <w:sz w:val="21"/>
              </w:rPr>
              <w:t>2022年7月19日，广东省第三次全国土壤普查领导小组办公室印发了《广东省第三次全国土壤普查实施方案》（粤农农函〔2022〕771 号）。方案明确了我省第三次全国土壤普查工作的目的、意义、思路、对象、内容、实施方案（含土壤生物专题调查）、成果汇总与编制要求、进度计划、实施保障措施等，并于2022年7月启动了高州市试点工作。</w:t>
            </w:r>
          </w:p>
          <w:p>
            <w:pPr>
              <w:jc w:val="left"/>
            </w:pPr>
            <w:r>
              <w:rPr>
                <w:sz w:val="21"/>
              </w:rPr>
              <w:t>在省、市第三次全国土壤普查领导小组指导下，在澄海区委区政府领导下，澄海区成立了土壤普查工作领导</w:t>
            </w:r>
            <w:r>
              <w:rPr>
                <w:sz w:val="21"/>
              </w:rPr>
              <w:t>小组、印发了工作方案、对外公布了采购意向。汕头市澄海区第三次全国土壤普查项目主要任务有：省第三次全国土壤普查领导小组办公室下达给澄海区的任务是：（1）完成146个点位土壤表层样品（其中：耕地52个、园地77个、林地11个、草地6个）的外业调查与采集、样品流转与制备以及样品分析检测，其中：样品流转与制备由汕头市统筹；（2）完成18个点位土壤剖面（其中：7个耕地、10个园地、1个林地）的不同发生层土壤样品的外业调查与采集、样品流转与制备以及样品分析检测；（3）完成本级外业和内业工作质控，配合省级外业和内业工作质控；（4）提交土壤普查数据/数据库、图件和文字报告等各类成果。</w:t>
            </w:r>
          </w:p>
          <w:p>
            <w:pPr>
              <w:jc w:val="left"/>
            </w:pPr>
            <w:r>
              <w:rPr>
                <w:sz w:val="21"/>
              </w:rPr>
              <w:t>二</w:t>
            </w:r>
            <w:r>
              <w:rPr>
                <w:sz w:val="21"/>
              </w:rPr>
              <w:t>、项目实施文件与技术规范</w:t>
            </w:r>
          </w:p>
          <w:p>
            <w:pPr>
              <w:jc w:val="left"/>
            </w:pPr>
            <w:r>
              <w:rPr>
                <w:sz w:val="21"/>
              </w:rPr>
              <w:t>（1）《国务院关于开展第三次全国土壤普查的通知》（国发〔2022〕4号）；</w:t>
            </w:r>
          </w:p>
          <w:p>
            <w:pPr>
              <w:jc w:val="left"/>
            </w:pPr>
            <w:r>
              <w:rPr>
                <w:sz w:val="21"/>
              </w:rPr>
              <w:t>（2）《第三次全国土壤普查工作方案》（农建发〔2022〕1号）；</w:t>
            </w:r>
          </w:p>
          <w:p>
            <w:pPr>
              <w:jc w:val="left"/>
            </w:pPr>
            <w:r>
              <w:rPr>
                <w:sz w:val="21"/>
              </w:rPr>
              <w:t>（3）《第三次全国土壤普查技术规程规范（修订版）》（2023年2月）；</w:t>
            </w:r>
          </w:p>
          <w:p>
            <w:pPr>
              <w:jc w:val="left"/>
            </w:pPr>
            <w:r>
              <w:rPr>
                <w:sz w:val="21"/>
              </w:rPr>
              <w:t>（4）《国务院第三次全国土壤普查领导小</w:t>
            </w:r>
            <w:r>
              <w:rPr>
                <w:sz w:val="21"/>
              </w:rPr>
              <w:t>组办公室关于开展普查实验室筛选工作的通知》（农建发〔2022〕3号）；</w:t>
            </w:r>
          </w:p>
          <w:p>
            <w:pPr>
              <w:jc w:val="left"/>
            </w:pPr>
            <w:r>
              <w:rPr>
                <w:sz w:val="21"/>
              </w:rPr>
              <w:t>（5）《第三次全国土壤普查试点工作方案》（国土壤普查办发〔2022年〕2号）；</w:t>
            </w:r>
          </w:p>
          <w:p>
            <w:pPr>
              <w:jc w:val="left"/>
            </w:pPr>
            <w:r>
              <w:rPr>
                <w:sz w:val="21"/>
              </w:rPr>
              <w:t>（6）《第三次全国土壤普查试点实施指南》（国土壤普查办发〔2022年〕2号）；</w:t>
            </w:r>
          </w:p>
          <w:p>
            <w:pPr>
              <w:jc w:val="left"/>
            </w:pPr>
            <w:r>
              <w:rPr>
                <w:sz w:val="21"/>
              </w:rPr>
              <w:t>（7）《国务院第三次全国土壤普查领导小组办公室关于印发第三次全国土壤普查第一批检测实验室名录的通知》（国土壤普查办发〔2022年〕4号）；</w:t>
            </w:r>
          </w:p>
          <w:p>
            <w:pPr>
              <w:jc w:val="left"/>
            </w:pPr>
            <w:r>
              <w:rPr>
                <w:sz w:val="21"/>
              </w:rPr>
              <w:t>（8）《国务院第三次全国土壤普查领导小组办公室关于印发第三次全国土壤普查第二批检测实验室名录的通知》（国土壤普查办发〔2022年〕11号）；</w:t>
            </w:r>
          </w:p>
          <w:p>
            <w:pPr>
              <w:jc w:val="left"/>
            </w:pPr>
            <w:r>
              <w:rPr>
                <w:sz w:val="21"/>
              </w:rPr>
              <w:t>（9）《国务院第三次全国土壤普查领导小组办公室关于印发第三次全国土壤普查第三批检测实验室名录的通知》（国土壤普查办发〔2022年〕25号）；</w:t>
            </w:r>
          </w:p>
          <w:p>
            <w:pPr>
              <w:jc w:val="left"/>
            </w:pPr>
            <w:r>
              <w:rPr>
                <w:sz w:val="21"/>
              </w:rPr>
              <w:t>（10）《广东省第三次全国土壤普查试点工作实施方案》（粤农农函〔2022〕243号）；</w:t>
            </w:r>
          </w:p>
          <w:p>
            <w:pPr>
              <w:jc w:val="left"/>
            </w:pPr>
            <w:r>
              <w:rPr>
                <w:sz w:val="21"/>
              </w:rPr>
              <w:t>（11）《关于印发广东省第三次全国土壤普查省级技术支撑队伍名单的通知》（粤农农函〔2022〕532号）；</w:t>
            </w:r>
          </w:p>
          <w:p>
            <w:pPr>
              <w:jc w:val="left"/>
            </w:pPr>
            <w:r>
              <w:rPr>
                <w:sz w:val="21"/>
              </w:rPr>
              <w:t>（12）《广东省第三次全国土壤普查实施方案》（粤农农函〔2022〕771号）。</w:t>
            </w:r>
          </w:p>
          <w:p>
            <w:pPr>
              <w:jc w:val="left"/>
            </w:pPr>
            <w:r>
              <w:rPr>
                <w:sz w:val="21"/>
              </w:rPr>
              <w:t>三、采购项目需求一览表</w:t>
            </w:r>
          </w:p>
          <w:p>
            <w:pPr>
              <w:jc w:val="left"/>
            </w:pPr>
            <w:r>
              <w:rPr>
                <w:sz w:val="21"/>
              </w:rPr>
              <w:t>按照《国务院关于开展第三次全国土壤普查的通知》（国发〔2022〕4号）、《第三次全国土壤普查工作方案》（农建发〔2022〕1号）、《广东省人民政府转发国务院关于开展第三次全国土壤普查的通知》（粤府〔2022〕26号）、《广东省第三次全国土壤普查实施方案》（粤农农函〔2022〕771号）和《第三次全国土壤普查技术规程规范（修订版）》的要求，开展澄海区第三次土壤普查质量控制工作。采购项目需求一览表如下：</w:t>
            </w:r>
          </w:p>
          <w:tbl>
            <w:tblPr>
              <w:tblBorders>
                <w:top w:val="none" w:color="000000" w:sz="4"/>
                <w:left w:val="none" w:color="000000" w:sz="4"/>
                <w:bottom w:val="none" w:color="000000" w:sz="4"/>
                <w:right w:val="none" w:color="000000" w:sz="4"/>
                <w:insideH w:val="none"/>
                <w:insideV w:val="none"/>
              </w:tblBorders>
            </w:tblPr>
            <w:tblGrid>
              <w:gridCol w:w="539"/>
              <w:gridCol w:w="1538"/>
              <w:gridCol w:w="542"/>
              <w:gridCol w:w="632"/>
              <w:gridCol w:w="1209"/>
              <w:gridCol w:w="1137"/>
            </w:tblGrid>
            <w:tr>
              <w:tc>
                <w:tcPr>
                  <w:tcW w:type="dxa" w:w="53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538"/>
                  <w:tcBorders>
                    <w:top w:val="single" w:color="000000" w:sz="4"/>
                    <w:left w:val="single" w:color="000000" w:sz="4"/>
                    <w:bottom w:val="single" w:color="000000" w:sz="4"/>
                    <w:right w:val="single" w:color="000000" w:sz="4"/>
                  </w:tcBorders>
                  <w:vAlign w:val="top"/>
                </w:tcPr>
                <w:p>
                  <w:pPr>
                    <w:jc w:val="center"/>
                  </w:pPr>
                  <w:r>
                    <w:rPr>
                      <w:b/>
                      <w:sz w:val="21"/>
                    </w:rPr>
                    <w:t>任务名称</w:t>
                  </w:r>
                </w:p>
              </w:tc>
              <w:tc>
                <w:tcPr>
                  <w:tcW w:type="dxa" w:w="542"/>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632"/>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209"/>
                  <w:tcBorders>
                    <w:top w:val="single" w:color="000000" w:sz="4"/>
                    <w:left w:val="single" w:color="000000" w:sz="4"/>
                    <w:bottom w:val="single" w:color="000000" w:sz="4"/>
                    <w:right w:val="single" w:color="000000" w:sz="4"/>
                  </w:tcBorders>
                  <w:vAlign w:val="top"/>
                </w:tcPr>
                <w:p>
                  <w:pPr>
                    <w:jc w:val="center"/>
                  </w:pPr>
                  <w:r>
                    <w:rPr>
                      <w:b/>
                      <w:sz w:val="21"/>
                    </w:rPr>
                    <w:t>预算价格</w:t>
                  </w:r>
                </w:p>
                <w:p>
                  <w:pPr>
                    <w:jc w:val="center"/>
                  </w:pPr>
                  <w:r>
                    <w:rPr>
                      <w:b/>
                      <w:sz w:val="21"/>
                    </w:rPr>
                    <w:t>（人民币，元）</w:t>
                  </w:r>
                </w:p>
              </w:tc>
              <w:tc>
                <w:tcPr>
                  <w:tcW w:type="dxa" w:w="1137"/>
                  <w:tcBorders>
                    <w:top w:val="single" w:color="000000" w:sz="4"/>
                    <w:left w:val="single" w:color="000000" w:sz="4"/>
                    <w:bottom w:val="single" w:color="000000" w:sz="4"/>
                    <w:right w:val="single" w:color="000000" w:sz="4"/>
                  </w:tcBorders>
                  <w:vAlign w:val="top"/>
                </w:tcPr>
                <w:p>
                  <w:pPr>
                    <w:jc w:val="center"/>
                  </w:pPr>
                  <w:r>
                    <w:rPr>
                      <w:b/>
                      <w:sz w:val="21"/>
                    </w:rPr>
                    <w:t>技术要求</w:t>
                  </w:r>
                </w:p>
              </w:tc>
            </w:tr>
            <w:tr>
              <w:tc>
                <w:tcPr>
                  <w:tcW w:type="dxa" w:w="53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38"/>
                  <w:tcBorders>
                    <w:top w:val="none" w:color="000000" w:sz="4"/>
                    <w:left w:val="single" w:color="000000" w:sz="4"/>
                    <w:bottom w:val="single" w:color="000000" w:sz="4"/>
                    <w:right w:val="single" w:color="000000" w:sz="4"/>
                  </w:tcBorders>
                  <w:vAlign w:val="top"/>
                </w:tcPr>
                <w:p>
                  <w:pPr>
                    <w:jc w:val="center"/>
                  </w:pPr>
                  <w:r>
                    <w:rPr>
                      <w:sz w:val="21"/>
                    </w:rPr>
                    <w:t>澄海区第三次全国土壤普查全过程质量控制</w:t>
                  </w:r>
                </w:p>
              </w:tc>
              <w:tc>
                <w:tcPr>
                  <w:tcW w:type="dxa" w:w="54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32"/>
                  <w:tcBorders>
                    <w:top w:val="none" w:color="000000" w:sz="4"/>
                    <w:left w:val="single" w:color="000000" w:sz="4"/>
                    <w:bottom w:val="single" w:color="000000" w:sz="4"/>
                    <w:right w:val="single" w:color="000000" w:sz="4"/>
                  </w:tcBorders>
                  <w:vAlign w:val="top"/>
                </w:tcPr>
                <w:p>
                  <w:pPr>
                    <w:jc w:val="center"/>
                  </w:pPr>
                  <w:r>
                    <w:rPr>
                      <w:sz w:val="21"/>
                    </w:rPr>
                    <w:t>1项</w:t>
                  </w:r>
                </w:p>
              </w:tc>
              <w:tc>
                <w:tcPr>
                  <w:tcW w:type="dxa" w:w="1209"/>
                  <w:tcBorders>
                    <w:top w:val="none" w:color="000000" w:sz="4"/>
                    <w:left w:val="single" w:color="000000" w:sz="4"/>
                    <w:bottom w:val="single" w:color="000000" w:sz="4"/>
                    <w:right w:val="single" w:color="000000" w:sz="4"/>
                  </w:tcBorders>
                  <w:vAlign w:val="top"/>
                </w:tcPr>
                <w:p>
                  <w:pPr>
                    <w:jc w:val="center"/>
                  </w:pPr>
                  <w:r>
                    <w:rPr>
                      <w:b/>
                      <w:sz w:val="21"/>
                    </w:rPr>
                    <w:t>243,897.52</w:t>
                  </w:r>
                </w:p>
              </w:tc>
              <w:tc>
                <w:tcPr>
                  <w:tcW w:type="dxa" w:w="1137"/>
                  <w:tcBorders>
                    <w:top w:val="none" w:color="000000" w:sz="4"/>
                    <w:left w:val="single" w:color="000000" w:sz="4"/>
                    <w:bottom w:val="single" w:color="000000" w:sz="4"/>
                    <w:right w:val="single" w:color="000000" w:sz="4"/>
                  </w:tcBorders>
                  <w:vAlign w:val="top"/>
                </w:tcPr>
                <w:p>
                  <w:pPr>
                    <w:jc w:val="center"/>
                  </w:pPr>
                  <w:r>
                    <w:rPr>
                      <w:sz w:val="21"/>
                    </w:rPr>
                    <w:t>详见服务内容、技术参数和要求</w:t>
                  </w:r>
                </w:p>
              </w:tc>
            </w:tr>
          </w:tbl>
          <w:p>
            <w:pPr>
              <w:jc w:val="left"/>
            </w:pPr>
            <w:r>
              <w:rPr>
                <w:sz w:val="21"/>
              </w:rPr>
              <w:t>四、服务内容和技术要求</w:t>
            </w:r>
          </w:p>
          <w:tbl>
            <w:tblPr>
              <w:tblBorders>
                <w:top w:val="none" w:color="000000" w:sz="4"/>
                <w:left w:val="none" w:color="000000" w:sz="4"/>
                <w:bottom w:val="none" w:color="000000" w:sz="4"/>
                <w:right w:val="none" w:color="000000" w:sz="4"/>
                <w:insideH w:val="none"/>
                <w:insideV w:val="none"/>
              </w:tblBorders>
            </w:tblPr>
            <w:tblGrid>
              <w:gridCol w:w="529"/>
              <w:gridCol w:w="728"/>
              <w:gridCol w:w="503"/>
              <w:gridCol w:w="3835"/>
            </w:tblGrid>
            <w:tr>
              <w:tc>
                <w:tcPr>
                  <w:tcW w:type="dxa" w:w="52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728"/>
                  <w:tcBorders>
                    <w:top w:val="single" w:color="000000" w:sz="4"/>
                    <w:left w:val="single" w:color="000000" w:sz="4"/>
                    <w:bottom w:val="single" w:color="000000" w:sz="4"/>
                    <w:right w:val="single" w:color="000000" w:sz="4"/>
                  </w:tcBorders>
                  <w:vAlign w:val="top"/>
                </w:tcPr>
                <w:p>
                  <w:pPr>
                    <w:jc w:val="center"/>
                  </w:pPr>
                  <w:r>
                    <w:rPr>
                      <w:sz w:val="21"/>
                    </w:rPr>
                    <w:t>服务内容</w:t>
                  </w:r>
                </w:p>
              </w:tc>
              <w:tc>
                <w:tcPr>
                  <w:tcW w:type="dxa" w:w="503"/>
                  <w:tcBorders>
                    <w:top w:val="single" w:color="000000" w:sz="4"/>
                    <w:left w:val="single" w:color="000000" w:sz="4"/>
                    <w:bottom w:val="single" w:color="000000" w:sz="4"/>
                    <w:right w:val="single" w:color="000000" w:sz="4"/>
                  </w:tcBorders>
                  <w:vAlign w:val="top"/>
                </w:tcPr>
                <w:p>
                  <w:pPr>
                    <w:jc w:val="center"/>
                  </w:pPr>
                  <w:r>
                    <w:rPr>
                      <w:sz w:val="21"/>
                    </w:rPr>
                    <w:t>参数序号</w:t>
                  </w:r>
                </w:p>
              </w:tc>
              <w:tc>
                <w:tcPr>
                  <w:tcW w:type="dxa" w:w="3835"/>
                  <w:tcBorders>
                    <w:top w:val="single" w:color="000000" w:sz="4"/>
                    <w:left w:val="single" w:color="000000" w:sz="4"/>
                    <w:bottom w:val="single" w:color="000000" w:sz="4"/>
                    <w:right w:val="single" w:color="000000" w:sz="4"/>
                  </w:tcBorders>
                  <w:vAlign w:val="top"/>
                </w:tcPr>
                <w:p>
                  <w:pPr>
                    <w:jc w:val="both"/>
                  </w:pPr>
                  <w:r>
                    <w:rPr>
                      <w:sz w:val="21"/>
                    </w:rPr>
                    <w:t>具体技术（参数）要求</w:t>
                  </w:r>
                </w:p>
              </w:tc>
            </w:tr>
            <w:tr>
              <w:tc>
                <w:tcPr>
                  <w:tcW w:type="dxa" w:w="529"/>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28"/>
                  <w:vMerge w:val="restart"/>
                  <w:tcBorders>
                    <w:top w:val="none" w:color="000000" w:sz="4"/>
                    <w:left w:val="single" w:color="000000" w:sz="4"/>
                    <w:bottom w:val="single" w:color="000000" w:sz="4"/>
                    <w:right w:val="single" w:color="000000" w:sz="4"/>
                  </w:tcBorders>
                  <w:vAlign w:val="top"/>
                </w:tcPr>
                <w:p>
                  <w:pPr>
                    <w:jc w:val="center"/>
                  </w:pPr>
                  <w:r>
                    <w:rPr>
                      <w:sz w:val="21"/>
                    </w:rPr>
                    <w:t>全过程质量控制</w:t>
                  </w:r>
                </w:p>
              </w:tc>
              <w:tc>
                <w:tcPr>
                  <w:tcW w:type="dxa" w:w="50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（1）委托内容</w:t>
                  </w:r>
                </w:p>
                <w:p>
                  <w:pPr>
                    <w:jc w:val="left"/>
                  </w:pPr>
                  <w:r>
                    <w:rPr>
                      <w:sz w:val="21"/>
                    </w:rPr>
                    <w:t>1、资料检查：重点对上传到土壤普查工作平台上的样点信息、记录等进行检查。检查内容包括：采样点位检查、采样记录和照片、采样环节自查情况检查。对外业调查队上传的文件资料开展100%质量监督检查和审核确认，共计</w:t>
                  </w:r>
                  <w:r>
                    <w:rPr>
                      <w:sz w:val="21"/>
                    </w:rPr>
                    <w:t>146</w:t>
                  </w:r>
                  <w:r>
                    <w:rPr>
                      <w:sz w:val="21"/>
                    </w:rPr>
                    <w:t>个表层土壤样品的外业调查与采样数据。</w:t>
                  </w:r>
                </w:p>
                <w:p>
                  <w:pPr>
                    <w:jc w:val="both"/>
                  </w:pPr>
                  <w:r>
                    <w:rPr>
                      <w:sz w:val="21"/>
                    </w:rPr>
                    <w:t>2、现场检查：采取与专家技术指导服务相结合的方式开展，覆盖外业调查采样全过程。检查内容包括：采样点检查、采样方法检查、采样记录检查、样品检查、已采样品暂存检查、样品交接检查、样品包装及运输检查。按《第三次全国土壤普查全程质量控制技术规范》（修订版）组织野外工作经验丰富、熟悉土壤学或自然地理学、环境科学等专业知识的专家或专业技术人员参与现场检查（如特殊原因无法实地开展现场检查，则通过视频连线方式进行检查，检查内容与要求同现场检查）。每个外业调查队至少要有１位专家或专业技术人员全程跟踪开展现场检查工作，现场检查覆盖100%采样点，现场重点检查不低于采样任务的10%。</w:t>
                  </w:r>
                </w:p>
                <w:p>
                  <w:pPr>
                    <w:jc w:val="both"/>
                  </w:pPr>
                  <w:r>
                    <w:rPr>
                      <w:sz w:val="21"/>
                    </w:rPr>
                    <w:t>3、对经过省级质量控制实验室确认的数据进行100%完整性、规范性、合理性审查。共计</w:t>
                  </w:r>
                  <w:r>
                    <w:rPr>
                      <w:sz w:val="21"/>
                    </w:rPr>
                    <w:t>146</w:t>
                  </w:r>
                  <w:r>
                    <w:rPr>
                      <w:sz w:val="21"/>
                    </w:rPr>
                    <w:t>个表层土壤样品和</w:t>
                  </w:r>
                  <w:r>
                    <w:rPr>
                      <w:sz w:val="21"/>
                    </w:rPr>
                    <w:t>18</w:t>
                  </w:r>
                  <w:r>
                    <w:rPr>
                      <w:sz w:val="21"/>
                    </w:rPr>
                    <w:t>个土壤剖面样品的检测数据。</w:t>
                  </w:r>
                </w:p>
                <w:p>
                  <w:pPr>
                    <w:jc w:val="both"/>
                  </w:pPr>
                  <w:r>
                    <w:rPr>
                      <w:sz w:val="21"/>
                    </w:rPr>
                    <w:t>4、编制县级质量保证与质量控制报告1份。</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（2）人员要求：</w:t>
                  </w:r>
                </w:p>
                <w:p>
                  <w:pPr>
                    <w:jc w:val="both"/>
                  </w:pPr>
                  <w:r>
                    <w:rPr>
                      <w:sz w:val="21"/>
                    </w:rPr>
                    <w:t>1、能有效组织我市土壤普查办委托的专家或专业技术人员参与现场检查。同时，技术负责人需具备丰富野外工作经验，熟悉土壤学或自然地理学、环境科学等专业知识；</w:t>
                  </w:r>
                </w:p>
                <w:p>
                  <w:pPr>
                    <w:jc w:val="both"/>
                  </w:pPr>
                  <w:r>
                    <w:rPr>
                      <w:sz w:val="21"/>
                    </w:rPr>
                    <w:t>2、组织的数据审核人员需由科研、教学和推广领域多年从事土壤学或植物学、环境类等相关专业的博士学位，或具有高级专业技术职称专家组成，审核责任专家至少2名。</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（3）保障工作质量的资质要求：</w:t>
                  </w:r>
                </w:p>
                <w:p>
                  <w:pPr>
                    <w:jc w:val="both"/>
                  </w:pPr>
                  <w:r>
                    <w:rPr>
                      <w:sz w:val="21"/>
                    </w:rPr>
                    <w:t>所有参与全过程质量控制的人员必须取得广东省第三次全国土壤普查表层样点外业调查采样领队（质量检查员）资格证书。</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（4）实施进度要求：</w:t>
                  </w:r>
                </w:p>
                <w:p>
                  <w:pPr>
                    <w:jc w:val="both"/>
                  </w:pPr>
                  <w:r>
                    <w:rPr>
                      <w:sz w:val="21"/>
                    </w:rPr>
                    <w:t xml:space="preserve">   任务完成进度如下表：</w:t>
                  </w:r>
                </w:p>
                <w:tbl>
                  <w:tblPr>
                    <w:tblBorders>
                      <w:top w:val="none" w:color="000000" w:sz="4"/>
                      <w:left w:val="none" w:color="000000" w:sz="4"/>
                      <w:bottom w:val="none" w:color="000000" w:sz="4"/>
                      <w:right w:val="none" w:color="000000" w:sz="4"/>
                      <w:insideH w:val="none"/>
                      <w:insideV w:val="none"/>
                    </w:tblBorders>
                  </w:tblPr>
                  <w:tblGrid>
                    <w:gridCol w:w="1509"/>
                    <w:gridCol w:w="812"/>
                    <w:gridCol w:w="1298"/>
                  </w:tblGrid>
                  <w:tr>
                    <w:tc>
                      <w:tcPr>
                        <w:tcW w:type="dxa" w:w="1509"/>
                        <w:tcBorders>
                          <w:top w:val="single" w:color="000000" w:sz="4"/>
                          <w:left w:val="single" w:color="000000" w:sz="4"/>
                          <w:bottom w:val="single" w:color="000000" w:sz="4"/>
                          <w:right w:val="single" w:color="000000" w:sz="4"/>
                        </w:tcBorders>
                        <w:vAlign w:val="top"/>
                      </w:tcPr>
                      <w:p>
                        <w:pPr>
                          <w:jc w:val="both"/>
                        </w:pPr>
                        <w:r>
                          <w:rPr>
                            <w:sz w:val="21"/>
                          </w:rPr>
                          <w:t>工作内容</w:t>
                        </w:r>
                      </w:p>
                    </w:tc>
                    <w:tc>
                      <w:tcPr>
                        <w:tcW w:type="dxa" w:w="812"/>
                        <w:tcBorders>
                          <w:top w:val="single" w:color="000000" w:sz="4"/>
                          <w:left w:val="single" w:color="000000" w:sz="4"/>
                          <w:bottom w:val="single" w:color="000000" w:sz="4"/>
                          <w:right w:val="single" w:color="000000" w:sz="4"/>
                        </w:tcBorders>
                        <w:vAlign w:val="top"/>
                      </w:tcPr>
                      <w:p>
                        <w:pPr>
                          <w:jc w:val="both"/>
                        </w:pPr>
                        <w:r>
                          <w:rPr>
                            <w:sz w:val="21"/>
                          </w:rPr>
                          <w:t>完成率</w:t>
                        </w:r>
                      </w:p>
                    </w:tc>
                    <w:tc>
                      <w:tcPr>
                        <w:tcW w:type="dxa" w:w="1298"/>
                        <w:tcBorders>
                          <w:top w:val="single" w:color="000000" w:sz="4"/>
                          <w:left w:val="single" w:color="000000" w:sz="4"/>
                          <w:bottom w:val="single" w:color="000000" w:sz="4"/>
                          <w:right w:val="single" w:color="000000" w:sz="4"/>
                        </w:tcBorders>
                        <w:vAlign w:val="top"/>
                      </w:tcPr>
                      <w:p>
                        <w:pPr>
                          <w:jc w:val="both"/>
                        </w:pPr>
                        <w:r>
                          <w:rPr>
                            <w:sz w:val="21"/>
                          </w:rPr>
                          <w:t>完成时间</w:t>
                        </w:r>
                      </w:p>
                    </w:tc>
                  </w:tr>
                  <w:tr>
                    <w:tc>
                      <w:tcPr>
                        <w:tcW w:type="dxa" w:w="1509"/>
                        <w:tcBorders>
                          <w:top w:val="none" w:color="000000" w:sz="4"/>
                          <w:left w:val="single" w:color="000000" w:sz="4"/>
                          <w:bottom w:val="single" w:color="000000" w:sz="4"/>
                          <w:right w:val="single" w:color="000000" w:sz="4"/>
                        </w:tcBorders>
                        <w:vAlign w:val="top"/>
                      </w:tcPr>
                      <w:p>
                        <w:pPr>
                          <w:jc w:val="both"/>
                        </w:pPr>
                        <w:r>
                          <w:rPr>
                            <w:sz w:val="21"/>
                          </w:rPr>
                          <w:t>全过程质量控制</w:t>
                        </w:r>
                      </w:p>
                    </w:tc>
                    <w:tc>
                      <w:tcPr>
                        <w:tcW w:type="dxa" w:w="812"/>
                        <w:tcBorders>
                          <w:top w:val="none" w:color="000000" w:sz="4"/>
                          <w:left w:val="single" w:color="000000" w:sz="4"/>
                          <w:bottom w:val="single" w:color="000000" w:sz="4"/>
                          <w:right w:val="single" w:color="000000" w:sz="4"/>
                        </w:tcBorders>
                        <w:vAlign w:val="top"/>
                      </w:tcPr>
                      <w:p>
                        <w:pPr>
                          <w:jc w:val="both"/>
                        </w:pPr>
                        <w:r>
                          <w:rPr>
                            <w:sz w:val="21"/>
                          </w:rPr>
                          <w:t>100%</w:t>
                        </w:r>
                      </w:p>
                    </w:tc>
                    <w:tc>
                      <w:tcPr>
                        <w:tcW w:type="dxa" w:w="1298"/>
                        <w:tcBorders>
                          <w:top w:val="none" w:color="000000" w:sz="4"/>
                          <w:left w:val="single" w:color="000000" w:sz="4"/>
                          <w:bottom w:val="single" w:color="000000" w:sz="4"/>
                          <w:right w:val="single" w:color="000000" w:sz="4"/>
                        </w:tcBorders>
                        <w:vAlign w:val="top"/>
                      </w:tcPr>
                      <w:p>
                        <w:pPr>
                          <w:jc w:val="both"/>
                        </w:pPr>
                        <w:r>
                          <w:rPr>
                            <w:sz w:val="21"/>
                          </w:rPr>
                          <w:t>2024年8月31日之前</w:t>
                        </w:r>
                      </w:p>
                    </w:tc>
                  </w:tr>
                  <w:tr>
                    <w:tc>
                      <w:tcPr>
                        <w:tcW w:type="dxa" w:w="1509"/>
                        <w:tcBorders>
                          <w:top w:val="none" w:color="000000" w:sz="4"/>
                          <w:left w:val="single" w:color="000000" w:sz="4"/>
                          <w:bottom w:val="single" w:color="000000" w:sz="4"/>
                          <w:right w:val="single" w:color="000000" w:sz="4"/>
                        </w:tcBorders>
                        <w:vAlign w:val="top"/>
                      </w:tcPr>
                      <w:p>
                        <w:pPr>
                          <w:jc w:val="both"/>
                        </w:pPr>
                        <w:r>
                          <w:rPr>
                            <w:sz w:val="21"/>
                          </w:rPr>
                          <w:t>提交县级质量保证与质量控制报告</w:t>
                        </w:r>
                      </w:p>
                    </w:tc>
                    <w:tc>
                      <w:tcPr>
                        <w:tcW w:type="dxa" w:w="812"/>
                        <w:tcBorders>
                          <w:top w:val="none" w:color="000000" w:sz="4"/>
                          <w:left w:val="single" w:color="000000" w:sz="4"/>
                          <w:bottom w:val="single" w:color="000000" w:sz="4"/>
                          <w:right w:val="single" w:color="000000" w:sz="4"/>
                        </w:tcBorders>
                        <w:vAlign w:val="top"/>
                      </w:tcPr>
                      <w:p>
                        <w:pPr>
                          <w:jc w:val="both"/>
                        </w:pPr>
                        <w:r>
                          <w:rPr>
                            <w:sz w:val="21"/>
                          </w:rPr>
                          <w:t>100%</w:t>
                        </w:r>
                      </w:p>
                    </w:tc>
                    <w:tc>
                      <w:tcPr>
                        <w:tcW w:type="dxa" w:w="1298"/>
                        <w:tcBorders>
                          <w:top w:val="none" w:color="000000" w:sz="4"/>
                          <w:left w:val="single" w:color="000000" w:sz="4"/>
                          <w:bottom w:val="single" w:color="000000" w:sz="4"/>
                          <w:right w:val="single" w:color="000000" w:sz="4"/>
                        </w:tcBorders>
                        <w:vAlign w:val="top"/>
                      </w:tcPr>
                      <w:p>
                        <w:pPr>
                          <w:jc w:val="both"/>
                        </w:pPr>
                        <w:r>
                          <w:rPr>
                            <w:sz w:val="21"/>
                          </w:rPr>
                          <w:t>2025年3月31日之前</w:t>
                        </w:r>
                      </w:p>
                    </w:tc>
                  </w:tr>
                  <w:tr>
                    <w:tc>
                      <w:tcPr>
                        <w:tcW w:type="dxa" w:w="1509"/>
                        <w:tcBorders>
                          <w:top w:val="none" w:color="000000" w:sz="4"/>
                          <w:left w:val="single" w:color="000000" w:sz="4"/>
                          <w:bottom w:val="single" w:color="000000" w:sz="4"/>
                          <w:right w:val="single" w:color="000000" w:sz="4"/>
                        </w:tcBorders>
                        <w:vAlign w:val="top"/>
                      </w:tcPr>
                      <w:p>
                        <w:pPr>
                          <w:jc w:val="both"/>
                        </w:pPr>
                        <w:r>
                          <w:rPr>
                            <w:sz w:val="21"/>
                          </w:rPr>
                          <w:t>成果验收</w:t>
                        </w:r>
                      </w:p>
                    </w:tc>
                    <w:tc>
                      <w:tcPr>
                        <w:tcW w:type="dxa" w:w="812"/>
                        <w:tcBorders>
                          <w:top w:val="none" w:color="000000" w:sz="4"/>
                          <w:left w:val="single" w:color="000000" w:sz="4"/>
                          <w:bottom w:val="single" w:color="000000" w:sz="4"/>
                          <w:right w:val="single" w:color="000000" w:sz="4"/>
                        </w:tcBorders>
                        <w:vAlign w:val="top"/>
                      </w:tcPr>
                      <w:p>
                        <w:pPr>
                          <w:jc w:val="both"/>
                        </w:pPr>
                        <w:r>
                          <w:rPr>
                            <w:sz w:val="21"/>
                          </w:rPr>
                          <w:t>100%</w:t>
                        </w:r>
                      </w:p>
                    </w:tc>
                    <w:tc>
                      <w:tcPr>
                        <w:tcW w:type="dxa" w:w="1298"/>
                        <w:tcBorders>
                          <w:top w:val="none" w:color="000000" w:sz="4"/>
                          <w:left w:val="single" w:color="000000" w:sz="4"/>
                          <w:bottom w:val="single" w:color="000000" w:sz="4"/>
                          <w:right w:val="single" w:color="000000" w:sz="4"/>
                        </w:tcBorders>
                        <w:vAlign w:val="top"/>
                      </w:tcPr>
                      <w:p>
                        <w:pPr>
                          <w:jc w:val="both"/>
                        </w:pPr>
                        <w:r>
                          <w:rPr>
                            <w:sz w:val="21"/>
                          </w:rPr>
                          <w:t>2025年5月31日之前</w:t>
                        </w:r>
                      </w:p>
                    </w:tc>
                  </w:tr>
                </w:tbl>
                <w:p>
                  <w:pPr>
                    <w:jc w:val="both"/>
                  </w:pPr>
                  <w:r>
                    <w:rPr>
                      <w:sz w:val="21"/>
                    </w:rPr>
                    <w:t>若国家、省有新要求且在上述时间节点前的，按国家、省要求的时间节点完成。</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（5）其他实施要求</w:t>
                  </w:r>
                </w:p>
                <w:p>
                  <w:pPr>
                    <w:jc w:val="both"/>
                  </w:pPr>
                  <w:r>
                    <w:rPr>
                      <w:sz w:val="21"/>
                    </w:rPr>
                    <w:t>1、合同签订后1个月内提交土壤普查全过程质量控制工作方案，上述工作方案经采购人审定后，</w:t>
                  </w:r>
                  <w:r>
                    <w:rPr>
                      <w:sz w:val="21"/>
                    </w:rPr>
                    <w:t>成交供应商</w:t>
                  </w:r>
                  <w:r>
                    <w:rPr>
                      <w:sz w:val="21"/>
                    </w:rPr>
                    <w:t>须严格遵照执行。</w:t>
                  </w:r>
                </w:p>
                <w:p>
                  <w:pPr>
                    <w:jc w:val="both"/>
                  </w:pPr>
                  <w:r>
                    <w:rPr>
                      <w:sz w:val="21"/>
                    </w:rPr>
                    <w:t>2、采购人拥有本合同项目的所有中间成果和最终成果，以及与之相关的所有权利。项目相关数据、记录、成果和使用权归采购人所有，未经同意，</w:t>
                  </w:r>
                  <w:r>
                    <w:rPr>
                      <w:sz w:val="21"/>
                    </w:rPr>
                    <w:t>成交供应商</w:t>
                  </w:r>
                  <w:r>
                    <w:rPr>
                      <w:sz w:val="21"/>
                    </w:rPr>
                    <w:t>不得对外公开发表。</w:t>
                  </w:r>
                </w:p>
                <w:p>
                  <w:pPr>
                    <w:jc w:val="both"/>
                  </w:pPr>
                  <w:r>
                    <w:rPr>
                      <w:sz w:val="21"/>
                    </w:rPr>
                    <w:t>3、</w:t>
                  </w:r>
                  <w:r>
                    <w:rPr>
                      <w:sz w:val="21"/>
                    </w:rPr>
                    <w:t>成交供应商</w:t>
                  </w:r>
                  <w:r>
                    <w:rPr>
                      <w:sz w:val="21"/>
                    </w:rPr>
                    <w:t>项目团队一经确定，原则上不得变更，确因客观原因导致成员发生变更，需事先经采购人同意，如项目团队成员工作达不到采购人要求，</w:t>
                  </w:r>
                  <w:r>
                    <w:rPr>
                      <w:sz w:val="21"/>
                    </w:rPr>
                    <w:t>成交供应商</w:t>
                  </w:r>
                  <w:r>
                    <w:rPr>
                      <w:sz w:val="21"/>
                    </w:rPr>
                    <w:t>须根据采购人要求，更换其他能胜任此项工作的人员。</w:t>
                  </w:r>
                </w:p>
                <w:p>
                  <w:pPr>
                    <w:jc w:val="both"/>
                  </w:pPr>
                  <w:r>
                    <w:rPr>
                      <w:sz w:val="21"/>
                    </w:rPr>
                    <w:t>4、</w:t>
                  </w:r>
                  <w:r>
                    <w:rPr>
                      <w:sz w:val="21"/>
                    </w:rPr>
                    <w:t>成交供应商</w:t>
                  </w:r>
                  <w:r>
                    <w:rPr>
                      <w:sz w:val="21"/>
                    </w:rPr>
                    <w:t>应保证本项目响应的技术、服务或其任何一部分不会产生因第三方提出侵犯其专利权、商标权或其他知识产权而引起的法律和经济纠纷；如因第三方提出其专利权、商标权或其他知识产权的侵权之诉，则一切法律责任由</w:t>
                  </w:r>
                  <w:r>
                    <w:rPr>
                      <w:sz w:val="21"/>
                    </w:rPr>
                    <w:t>成交供应商</w:t>
                  </w:r>
                  <w:r>
                    <w:rPr>
                      <w:sz w:val="21"/>
                    </w:rPr>
                    <w:t>承担。</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（6）服务要求</w:t>
                  </w:r>
                </w:p>
                <w:p>
                  <w:pPr>
                    <w:jc w:val="both"/>
                  </w:pPr>
                  <w:r>
                    <w:rPr>
                      <w:sz w:val="21"/>
                    </w:rPr>
                    <w:t>1. 对掌握政策的要求：</w:t>
                  </w:r>
                  <w:r>
                    <w:rPr>
                      <w:sz w:val="21"/>
                    </w:rPr>
                    <w:t>成交供应商</w:t>
                  </w:r>
                  <w:r>
                    <w:rPr>
                      <w:sz w:val="21"/>
                    </w:rPr>
                    <w:t>应熟悉国家、省、市有关部门关于农业方面的法律、法规及相关政策，并具有同类项目经验。</w:t>
                  </w:r>
                </w:p>
                <w:p>
                  <w:pPr>
                    <w:jc w:val="both"/>
                  </w:pPr>
                  <w:r>
                    <w:rPr>
                      <w:sz w:val="21"/>
                    </w:rPr>
                    <w:t>2.</w:t>
                  </w:r>
                  <w:r>
                    <w:rPr>
                      <w:sz w:val="21"/>
                    </w:rPr>
                    <w:t>成交供应商</w:t>
                  </w:r>
                  <w:r>
                    <w:rPr>
                      <w:sz w:val="21"/>
                    </w:rPr>
                    <w:t>在提供专业化服务工作中要恪守独立、客观、公正的原则，实事求是、认真负责、努力工作，讲求质量，确保本项目工作顺利完成。</w:t>
                  </w:r>
                </w:p>
                <w:p>
                  <w:pPr>
                    <w:jc w:val="both"/>
                  </w:pPr>
                  <w:r>
                    <w:rPr>
                      <w:sz w:val="21"/>
                    </w:rPr>
                    <w:t>3.</w:t>
                  </w:r>
                  <w:r>
                    <w:rPr>
                      <w:sz w:val="21"/>
                    </w:rPr>
                    <w:t>成交供应商</w:t>
                  </w:r>
                  <w:r>
                    <w:rPr>
                      <w:sz w:val="21"/>
                    </w:rPr>
                    <w:t>要廉洁自律，忠于职守，遵守工作纪律。</w:t>
                  </w:r>
                </w:p>
                <w:p>
                  <w:pPr>
                    <w:jc w:val="both"/>
                  </w:pPr>
                  <w:r>
                    <w:rPr>
                      <w:sz w:val="21"/>
                    </w:rPr>
                    <w:t>4.</w:t>
                  </w:r>
                  <w:r>
                    <w:rPr>
                      <w:sz w:val="21"/>
                    </w:rPr>
                    <w:t>成交供应商</w:t>
                  </w:r>
                  <w:r>
                    <w:rPr>
                      <w:sz w:val="21"/>
                    </w:rPr>
                    <w:t>应当遵守保密原则，除法律、法规另有规定外，未经采购人许可，不得泄露工作过程中获知的商业秘密和业务资料。</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汕头市澄海区农业农村局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兼投不兼中：本项目兼投不兼中，每个投标人最多只能被确定为1个子包的第一中标候选人。本项目按子包的顺序进行评审，依次按照评标总得分由高到低的顺序，每包组推荐3名中标候选人。已获得澄海区第三次全国土壤普查项目的第一中标候选人资格的，将不具有子包一的候选人推荐资格；子包一从具有中标候选人资格的投标人中，排名最高的投标供应商为第一中标候选人，排名次高的投标供应商为第二中标候选人，以此类推。</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本次采购向成交供应商收取成交服务费，成交供应商在领取《成交通知书》时应向采购代理机构交纳成交服务费，成交服务费共计人民币叁仟柒佰元整（3,700.00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澄海区第三次全国土壤普查全过程质量控制)：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采购包1（澄海区第三次全国土壤普查全过程质量控制）：</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20%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采购包1（澄海区第三次全国土壤普查全过程质量控制）：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特定的资格要求</w:t>
            </w:r>
          </w:p>
        </w:tc>
        <w:tc>
          <w:tcPr>
            <w:tcW w:type="dxa" w:w="4238"/>
          </w:tcPr>
          <w:p>
            <w:r>
              <w:rPr/>
              <w:t>本采购包不接受联合体响应。</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中小微企业、监狱企业、残疾人福利性单位）采购的项目，但落实促进中小企业发展政策、支持监狱企业发展政策、支持残疾人福利性单位发展政策、采购节能产品、环境标志产品相关政策等。</w:t>
            </w:r>
          </w:p>
        </w:tc>
      </w:tr>
    </w:tbl>
    <w:p/>
    <w:p>
      <w:pPr>
        <w:ind w:firstLine="480"/>
      </w:pPr>
      <w:r>
        <w:rPr/>
        <w:t>表二符合性审查表：</w:t>
      </w:r>
    </w:p>
    <w:p>
      <w:pPr>
        <w:ind w:firstLine="480"/>
      </w:pPr>
    </w:p>
    <w:p/>
    <w:p>
      <w:r>
        <w:rPr/>
        <w:t>采购包1（澄海区第三次全国土壤普查全过程质量控制）：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投标报价不得超过项目采购预算金额。</w:t>
            </w:r>
          </w:p>
        </w:tc>
      </w:tr>
      <w:tr>
        <w:tc>
          <w:tcPr>
            <w:tcW w:type="dxa" w:w="890"/>
          </w:tcPr>
          <w:p>
            <w:r>
              <w:rPr/>
              <w:t>2</w:t>
            </w:r>
          </w:p>
        </w:tc>
        <w:tc>
          <w:tcPr>
            <w:tcW w:type="dxa" w:w="3178"/>
          </w:tcPr>
          <w:p>
            <w:r>
              <w:rPr/>
              <w:t>盖章</w:t>
            </w:r>
          </w:p>
        </w:tc>
        <w:tc>
          <w:tcPr>
            <w:tcW w:type="dxa" w:w="4238"/>
          </w:tcPr>
          <w:p>
            <w:r>
              <w:rPr/>
              <w:t>磋商文件明示盖公章处有加盖公章。</w:t>
            </w:r>
          </w:p>
        </w:tc>
      </w:tr>
      <w:tr>
        <w:tc>
          <w:tcPr>
            <w:tcW w:type="dxa" w:w="890"/>
          </w:tcPr>
          <w:p>
            <w:r>
              <w:rPr/>
              <w:t>3</w:t>
            </w:r>
          </w:p>
        </w:tc>
        <w:tc>
          <w:tcPr>
            <w:tcW w:type="dxa" w:w="3178"/>
          </w:tcPr>
          <w:p>
            <w:r>
              <w:rPr/>
              <w:t>签字</w:t>
            </w:r>
          </w:p>
        </w:tc>
        <w:tc>
          <w:tcPr>
            <w:tcW w:type="dxa" w:w="4238"/>
          </w:tcPr>
          <w:p>
            <w:r>
              <w:rPr/>
              <w:t>磋商文件明示需签字处有法定代表人或授权代表签字的。</w:t>
            </w:r>
          </w:p>
        </w:tc>
      </w:tr>
      <w:tr>
        <w:tc>
          <w:tcPr>
            <w:tcW w:type="dxa" w:w="890"/>
          </w:tcPr>
          <w:p>
            <w:r>
              <w:rPr/>
              <w:t>4</w:t>
            </w:r>
          </w:p>
        </w:tc>
        <w:tc>
          <w:tcPr>
            <w:tcW w:type="dxa" w:w="3178"/>
          </w:tcPr>
          <w:p>
            <w:r>
              <w:rPr/>
              <w:t>有效期</w:t>
            </w:r>
          </w:p>
        </w:tc>
        <w:tc>
          <w:tcPr>
            <w:tcW w:type="dxa" w:w="4238"/>
          </w:tcPr>
          <w:p>
            <w:r>
              <w:rPr/>
              <w:t>报价有效期满足磋商文件要求。</w:t>
            </w:r>
          </w:p>
        </w:tc>
      </w:tr>
      <w:tr>
        <w:tc>
          <w:tcPr>
            <w:tcW w:type="dxa" w:w="890"/>
          </w:tcPr>
          <w:p>
            <w:r>
              <w:rPr/>
              <w:t>5</w:t>
            </w:r>
          </w:p>
        </w:tc>
        <w:tc>
          <w:tcPr>
            <w:tcW w:type="dxa" w:w="3178"/>
          </w:tcPr>
          <w:p>
            <w:r>
              <w:rPr/>
              <w:t>响应文件编制</w:t>
            </w:r>
          </w:p>
        </w:tc>
        <w:tc>
          <w:tcPr>
            <w:tcW w:type="dxa" w:w="4238"/>
          </w:tcPr>
          <w:p>
            <w:r>
              <w:rPr/>
              <w:t>响应文件能按磋商文件的要求编制。</w:t>
            </w:r>
          </w:p>
        </w:tc>
      </w:tr>
      <w:tr>
        <w:tc>
          <w:tcPr>
            <w:tcW w:type="dxa" w:w="890"/>
          </w:tcPr>
          <w:p>
            <w:r>
              <w:rPr/>
              <w:t>6</w:t>
            </w:r>
          </w:p>
        </w:tc>
        <w:tc>
          <w:tcPr>
            <w:tcW w:type="dxa" w:w="3178"/>
          </w:tcPr>
          <w:p>
            <w:r>
              <w:rPr/>
              <w:t>其他条款</w:t>
            </w:r>
          </w:p>
        </w:tc>
        <w:tc>
          <w:tcPr>
            <w:tcW w:type="dxa" w:w="4238"/>
          </w:tcPr>
          <w:p>
            <w:r>
              <w:rPr/>
              <w:t>符合磋商文件中规定的其它条款。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采购包1(澄海区第三次全国土壤普查全过程质量控制):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报价得分15.0分</w:t>
            </w:r>
          </w:p>
        </w:tc>
      </w:tr>
      <w:tr>
        <w:tc>
          <w:tcPr>
            <w:tcW w:type="dxa" w:w="922"/>
            <w:gridSpan w:val="2"/>
            <w:vMerge w:val="restart"/>
          </w:tcPr>
          <w:p>
            <w:pPr>
              <w:jc w:val="center"/>
            </w:pPr>
            <w:r>
              <w:rPr/>
              <w:t>技术部分</w:t>
            </w:r>
          </w:p>
        </w:tc>
        <w:tc>
          <w:tcPr>
            <w:tcW w:type="dxa" w:w="2307"/>
          </w:tcPr>
          <w:p>
            <w:pPr>
              <w:jc w:val="left"/>
            </w:pPr>
            <w:r>
              <w:rPr/>
              <w:t>对项目的理解与认识  (9.0分)</w:t>
            </w:r>
            <w:r>
              <w:rPr/>
              <w:t>，（等次分值选择：</w:t>
            </w:r>
            <w:r>
              <w:rPr/>
              <w:t>0.0;</w:t>
            </w:r>
            <w:r>
              <w:rPr/>
              <w:t>3.0;</w:t>
            </w:r>
            <w:r>
              <w:rPr/>
              <w:t>6.0;</w:t>
            </w:r>
            <w:r>
              <w:rPr/>
              <w:t>9.0;</w:t>
            </w:r>
            <w:r>
              <w:rPr/>
              <w:t>）</w:t>
            </w:r>
          </w:p>
        </w:tc>
        <w:tc>
          <w:tcPr>
            <w:tcW w:type="dxa" w:w="5076"/>
          </w:tcPr>
          <w:p>
            <w:pPr>
              <w:jc w:val="left"/>
            </w:pPr>
            <w:r>
              <w:rPr/>
              <w:t>根据供应商提供对本项目收集和分析前期行政区划、交通、土壤类型、地形地貌等的理解和认识（包括但不限于项目背景、项目概况、项目建设内容、建设目标）进行评审：  1.对项目的理解透切、思路清晰、针对性强，得9分；  2.对项目的理解较强、思路较清晰、针对性较强，得6分；  3.对项目的理解一般、思路不清晰、针对性一般，得3分；  4.未提供不得分。</w:t>
            </w:r>
          </w:p>
        </w:tc>
      </w:tr>
      <w:tr>
        <w:tc>
          <w:tcPr>
            <w:tcW w:type="dxa" w:w="922"/>
            <w:gridSpan w:val="2"/>
            <w:vMerge/>
          </w:tcPr>
          <w:p/>
        </w:tc>
        <w:tc>
          <w:tcPr>
            <w:tcW w:type="dxa" w:w="2307"/>
          </w:tcPr>
          <w:p>
            <w:pPr>
              <w:jc w:val="left"/>
            </w:pPr>
            <w:r>
              <w:rPr/>
              <w:t>项目实施重难点分析及应对措施方案 (9.0分)</w:t>
            </w:r>
            <w:r>
              <w:rPr/>
              <w:t>，（等次分值选择：</w:t>
            </w:r>
            <w:r>
              <w:rPr/>
              <w:t>0.0;</w:t>
            </w:r>
            <w:r>
              <w:rPr/>
              <w:t>3.0;</w:t>
            </w:r>
            <w:r>
              <w:rPr/>
              <w:t>6.0;</w:t>
            </w:r>
            <w:r>
              <w:rPr/>
              <w:t>9.0;</w:t>
            </w:r>
            <w:r>
              <w:rPr/>
              <w:t>）</w:t>
            </w:r>
          </w:p>
        </w:tc>
        <w:tc>
          <w:tcPr>
            <w:tcW w:type="dxa" w:w="5076"/>
          </w:tcPr>
          <w:p>
            <w:pPr>
              <w:jc w:val="left"/>
            </w:pPr>
            <w:r>
              <w:rPr/>
              <w:t>根据供应商提供对本项目的实施过程中的重难点及应对措施方案（包括但不限于：项目实施内容的重点、难点分析，提出实施过程中的重点、难点问题的应对措施）进行评审：  1.方案针对性强，内容全面具体详细，条理清晰，可操性强，得9分；  2.方案针对性较强，较全面、较详细、条理较清晰，无缺失内容，可操作性较强，得6分；  3.方案针对性不够，不全面且不详细，条理不清晰，且存在缺失内容，可操作性不高，得3分； 4.未提供不得分。</w:t>
            </w:r>
          </w:p>
        </w:tc>
      </w:tr>
      <w:tr>
        <w:tc>
          <w:tcPr>
            <w:tcW w:type="dxa" w:w="922"/>
            <w:gridSpan w:val="2"/>
            <w:vMerge/>
          </w:tcPr>
          <w:p/>
        </w:tc>
        <w:tc>
          <w:tcPr>
            <w:tcW w:type="dxa" w:w="2307"/>
          </w:tcPr>
          <w:p>
            <w:pPr>
              <w:jc w:val="left"/>
            </w:pPr>
            <w:r>
              <w:rPr/>
              <w:t>技术路线  (9.0分)</w:t>
            </w:r>
            <w:r>
              <w:rPr/>
              <w:t>，（等次分值选择：</w:t>
            </w:r>
            <w:r>
              <w:rPr/>
              <w:t>0.0;</w:t>
            </w:r>
            <w:r>
              <w:rPr/>
              <w:t>3.0;</w:t>
            </w:r>
            <w:r>
              <w:rPr/>
              <w:t>6.0;</w:t>
            </w:r>
            <w:r>
              <w:rPr/>
              <w:t>9.0;</w:t>
            </w:r>
            <w:r>
              <w:rPr/>
              <w:t>）</w:t>
            </w:r>
          </w:p>
        </w:tc>
        <w:tc>
          <w:tcPr>
            <w:tcW w:type="dxa" w:w="5076"/>
          </w:tcPr>
          <w:p>
            <w:pPr>
              <w:jc w:val="left"/>
            </w:pPr>
            <w:r>
              <w:rPr/>
              <w:t>根据供应商提供对本项目实施的技术路线进行评审： 1.整体逻辑清晰、设计内容合理、可行，得9分；  2.整体逻辑较清晰、设计内容较合理、可行，得6分；  3.部分内容逻辑清晰、部分设计内容缺乏合理性、可行性，得3分；  4.未提供不得分。</w:t>
            </w:r>
          </w:p>
        </w:tc>
      </w:tr>
      <w:tr>
        <w:tc>
          <w:tcPr>
            <w:tcW w:type="dxa" w:w="922"/>
            <w:gridSpan w:val="2"/>
            <w:vMerge/>
          </w:tcPr>
          <w:p/>
        </w:tc>
        <w:tc>
          <w:tcPr>
            <w:tcW w:type="dxa" w:w="2307"/>
          </w:tcPr>
          <w:p>
            <w:pPr>
              <w:jc w:val="left"/>
            </w:pPr>
            <w:r>
              <w:rPr/>
              <w:t>合理采样检测方案 (9.0分)</w:t>
            </w:r>
            <w:r>
              <w:rPr/>
              <w:t>，（等次分值选择：</w:t>
            </w:r>
            <w:r>
              <w:rPr/>
              <w:t>0.0;</w:t>
            </w:r>
            <w:r>
              <w:rPr/>
              <w:t>3.0;</w:t>
            </w:r>
            <w:r>
              <w:rPr/>
              <w:t>6.0;</w:t>
            </w:r>
            <w:r>
              <w:rPr/>
              <w:t>9.0;</w:t>
            </w:r>
            <w:r>
              <w:rPr/>
              <w:t>）</w:t>
            </w:r>
          </w:p>
        </w:tc>
        <w:tc>
          <w:tcPr>
            <w:tcW w:type="dxa" w:w="5076"/>
          </w:tcPr>
          <w:p>
            <w:pPr>
              <w:jc w:val="left"/>
            </w:pPr>
            <w:r>
              <w:rPr/>
              <w:t>根据供应商提供的合理采样检测方案进行评审：  1.方案内容全面详细，条理清晰，无缺失内容，得9分；  2.方案内容较全面、较详细、条理较清晰，无缺失内容，得6分；  3.方案内容不全面且不详细，条理不清晰，且存在缺失内容，得3分；  4.未提供不得分。</w:t>
            </w:r>
          </w:p>
        </w:tc>
      </w:tr>
      <w:tr>
        <w:tc>
          <w:tcPr>
            <w:tcW w:type="dxa" w:w="922"/>
            <w:gridSpan w:val="2"/>
            <w:vMerge/>
          </w:tcPr>
          <w:p/>
        </w:tc>
        <w:tc>
          <w:tcPr>
            <w:tcW w:type="dxa" w:w="2307"/>
          </w:tcPr>
          <w:p>
            <w:pPr>
              <w:jc w:val="left"/>
            </w:pPr>
            <w:r>
              <w:rPr/>
              <w:t>实施计划及质量保证措施  (9.0分)</w:t>
            </w:r>
            <w:r>
              <w:rPr/>
              <w:t>，（等次分值选择：</w:t>
            </w:r>
            <w:r>
              <w:rPr/>
              <w:t>0.0;</w:t>
            </w:r>
            <w:r>
              <w:rPr/>
              <w:t>3.0;</w:t>
            </w:r>
            <w:r>
              <w:rPr/>
              <w:t>6.0;</w:t>
            </w:r>
            <w:r>
              <w:rPr/>
              <w:t>9.0;</w:t>
            </w:r>
            <w:r>
              <w:rPr/>
              <w:t>）</w:t>
            </w:r>
          </w:p>
        </w:tc>
        <w:tc>
          <w:tcPr>
            <w:tcW w:type="dxa" w:w="5076"/>
          </w:tcPr>
          <w:p>
            <w:pPr>
              <w:jc w:val="left"/>
            </w:pPr>
            <w:r>
              <w:rPr/>
              <w:t>根据供应商提供的项目实施计划、质量保证措施、数据保密措施方案，结合项目实际情况进行评审：  1.项目实施计划安排合理，质量保证措施、数据保密措施详细、可操作性强，得9分；  2.项目实施计划比较合理，质量保证措施、数据保密措施比较详细、可操作性较强，得6分；  3.项目实施计划不够合理，质量保证措施、数据保密措施简单，可操作性不够强，得3分；  4.未提供不得分。</w:t>
            </w:r>
          </w:p>
        </w:tc>
      </w:tr>
      <w:tr>
        <w:tc>
          <w:tcPr>
            <w:tcW w:type="dxa" w:w="922"/>
            <w:gridSpan w:val="2"/>
            <w:vMerge w:val="restart"/>
          </w:tcPr>
          <w:p>
            <w:pPr>
              <w:jc w:val="center"/>
            </w:pPr>
            <w:r>
              <w:rPr/>
              <w:t>商务部分</w:t>
            </w:r>
          </w:p>
        </w:tc>
        <w:tc>
          <w:tcPr>
            <w:tcW w:type="dxa" w:w="2307"/>
          </w:tcPr>
          <w:p>
            <w:pPr>
              <w:jc w:val="left"/>
            </w:pPr>
            <w:r>
              <w:rPr/>
              <w:t>专业及人员技术保障  (21.0分)</w:t>
            </w:r>
          </w:p>
        </w:tc>
        <w:tc>
          <w:tcPr>
            <w:tcW w:type="dxa" w:w="5076"/>
          </w:tcPr>
          <w:p>
            <w:pPr>
              <w:jc w:val="left"/>
            </w:pPr>
            <w:r>
              <w:rPr/>
              <w:t>1.审核责任专家：具有土壤学相关专业正高级职称2名以上得5分，副高级职称2名以上得3分（职称专业及学历专业需为土壤类、环境类、化学类、测绘类、地理类任意之一）。同时审核责任专家具有地理信息安全保密培训合格证书的加3分；本项最高得8分。  2.审查或抽查组项目技术人员若干名，职称专业需为土壤类、环境类、化学类、测绘类、地理类任意之一，每提供一名正高级职称技术人员得1分，每提供一名副高级职称技术人员0.5分，每提供一名中级职称技术人员0.2分，本项最高得分10分。  3.供应商为第三次全国土壤普查技术支撑单位，且具有外业调查采样国家或省级培训合格人员15个及以上的，本项得3分。  注：以上项目技术人员如同一人有多个证书不可以重复得分；提供以上相关证书或证明复印件及磋商截止前6个月内任意1个月在供应商单位任职的参保证明材料复印件加盖公章，未提供不得分。</w:t>
            </w:r>
          </w:p>
        </w:tc>
      </w:tr>
      <w:tr>
        <w:tc>
          <w:tcPr>
            <w:tcW w:type="dxa" w:w="922"/>
            <w:gridSpan w:val="2"/>
            <w:vMerge/>
          </w:tcPr>
          <w:p/>
        </w:tc>
        <w:tc>
          <w:tcPr>
            <w:tcW w:type="dxa" w:w="2307"/>
          </w:tcPr>
          <w:p>
            <w:pPr>
              <w:jc w:val="left"/>
            </w:pPr>
            <w:r>
              <w:rPr/>
              <w:t>综合技术实力 (9.0分)</w:t>
            </w:r>
          </w:p>
        </w:tc>
        <w:tc>
          <w:tcPr>
            <w:tcW w:type="dxa" w:w="5076"/>
          </w:tcPr>
          <w:p>
            <w:pPr>
              <w:jc w:val="left"/>
            </w:pPr>
            <w:r>
              <w:rPr/>
              <w:t>1.供应商具有质量管理体系认证证书、环境管理体系认证证书、职业健康安全管理体系认证证书。每提供一项得1分，本项最高得3分；  2.供应商参与国家级土壤类研究项目，每提供一项得2分，本项最高得6分。  注：提供以上有效期的证书复印件或者证明文件加盖公章，未提供不得分。</w:t>
            </w:r>
          </w:p>
        </w:tc>
      </w:tr>
      <w:tr>
        <w:tc>
          <w:tcPr>
            <w:tcW w:type="dxa" w:w="922"/>
            <w:gridSpan w:val="2"/>
            <w:vMerge/>
          </w:tcPr>
          <w:p/>
        </w:tc>
        <w:tc>
          <w:tcPr>
            <w:tcW w:type="dxa" w:w="2307"/>
          </w:tcPr>
          <w:p>
            <w:pPr>
              <w:jc w:val="left"/>
            </w:pPr>
            <w:r>
              <w:rPr/>
              <w:t>业绩 (10.0分)</w:t>
            </w:r>
          </w:p>
        </w:tc>
        <w:tc>
          <w:tcPr>
            <w:tcW w:type="dxa" w:w="5076"/>
          </w:tcPr>
          <w:p>
            <w:pPr>
              <w:jc w:val="left"/>
            </w:pPr>
            <w:r>
              <w:rPr/>
              <w:t>供应商自2020年1月1日至磋商截止之日承担过土壤调查类项目的，每提供一项得2分，本项最高得10分。 注：提供合同或中标通知书复印件加盖公章，未提供不得分。</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color w:val="000000"/>
          <w:sz w:val="36"/>
        </w:rPr>
        <w:t>广东省政府采购</w:t>
      </w:r>
    </w:p>
    <w:p>
      <w:pPr>
        <w:jc w:val="center"/>
      </w:pPr>
    </w:p>
    <w:p>
      <w:pPr>
        <w:jc w:val="center"/>
      </w:pPr>
      <w:r>
        <w:rPr>
          <w:b/>
          <w:color w:val="000000"/>
          <w:sz w:val="36"/>
        </w:rPr>
        <w:t>合同书</w:t>
      </w:r>
    </w:p>
    <w:p>
      <w:pPr>
        <w:jc w:val="center"/>
      </w:pPr>
      <w:r>
        <w:rPr>
          <w:b/>
          <w:sz w:val="32"/>
        </w:rPr>
        <w:t>采购包</w:t>
      </w:r>
      <w:r>
        <w:rPr>
          <w:b/>
          <w:sz w:val="32"/>
        </w:rPr>
        <w:t>1</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ind w:firstLine="1200"/>
        <w:jc w:val="both"/>
      </w:pPr>
      <w:r>
        <w:rPr>
          <w:color w:val="000000"/>
          <w:sz w:val="24"/>
        </w:rPr>
        <w:t>采购计划编号：</w:t>
      </w:r>
      <w:r>
        <w:rPr>
          <w:sz w:val="21"/>
          <w:u w:val="single"/>
        </w:rPr>
        <w:t xml:space="preserve">                            </w:t>
      </w:r>
    </w:p>
    <w:p>
      <w:pPr>
        <w:jc w:val="both"/>
      </w:pPr>
    </w:p>
    <w:p>
      <w:pPr>
        <w:jc w:val="both"/>
      </w:pPr>
    </w:p>
    <w:p>
      <w:pPr>
        <w:jc w:val="both"/>
      </w:pPr>
    </w:p>
    <w:p>
      <w:pPr>
        <w:ind w:firstLine="1200"/>
        <w:jc w:val="both"/>
      </w:pPr>
      <w:r>
        <w:rPr>
          <w:color w:val="000000"/>
          <w:sz w:val="24"/>
        </w:rPr>
        <w:t>项目编号：</w:t>
      </w:r>
      <w:r>
        <w:rPr>
          <w:sz w:val="21"/>
          <w:u w:val="single"/>
        </w:rPr>
        <w:t xml:space="preserve">                                 </w:t>
      </w:r>
    </w:p>
    <w:p>
      <w:pPr>
        <w:jc w:val="both"/>
      </w:pPr>
    </w:p>
    <w:p>
      <w:pPr>
        <w:jc w:val="both"/>
      </w:pPr>
    </w:p>
    <w:p>
      <w:pPr>
        <w:ind w:firstLine="1200"/>
        <w:jc w:val="both"/>
      </w:pPr>
    </w:p>
    <w:p>
      <w:pPr>
        <w:ind w:firstLine="1200"/>
        <w:jc w:val="both"/>
      </w:pPr>
      <w:r>
        <w:rPr>
          <w:color w:val="000000"/>
          <w:sz w:val="24"/>
        </w:rPr>
        <w:t>项目名称：</w:t>
      </w:r>
      <w:r>
        <w:rPr>
          <w:sz w:val="21"/>
          <w:u w:val="single"/>
        </w:rPr>
        <w:t xml:space="preserve">                                 </w:t>
      </w:r>
    </w:p>
    <w:p>
      <w:pPr>
        <w:ind w:firstLine="456"/>
        <w:jc w:val="both"/>
      </w:pPr>
    </w:p>
    <w:p>
      <w:pPr>
        <w:ind w:firstLine="456"/>
        <w:jc w:val="both"/>
      </w:pPr>
    </w:p>
    <w:p>
      <w:pPr>
        <w:ind w:firstLine="456"/>
        <w:jc w:val="both"/>
      </w:pPr>
    </w:p>
    <w:p>
      <w:pPr>
        <w:ind w:firstLine="480"/>
        <w:jc w:val="left"/>
      </w:pPr>
      <w:r>
        <w:rPr>
          <w:sz w:val="24"/>
        </w:rPr>
        <w:t>注：本合同仅为合同的参考文本，合同签订双方可根据项目的具体要求进行修订，但不得偏离实质性条款。</w:t>
      </w:r>
    </w:p>
    <w:p>
      <w:pPr>
        <w:jc w:val="both"/>
      </w:pPr>
      <w:r>
        <w:rPr>
          <w:sz w:val="21"/>
        </w:rPr>
        <w:t xml:space="preserve"> </w:t>
      </w:r>
    </w:p>
    <w:p>
      <w:pPr>
        <w:jc w:val="both"/>
      </w:pPr>
    </w:p>
    <w:p>
      <w:pPr>
        <w:jc w:val="both"/>
      </w:pPr>
    </w:p>
    <w:p>
      <w:pPr>
        <w:jc w:val="both"/>
      </w:pPr>
    </w:p>
    <w:p/>
    <w:p>
      <w:r>
        <w:rPr/>
        <w:t xml:space="preserve"> </w:t>
      </w:r>
    </w:p>
    <w:p>
      <w:pPr>
        <w:jc w:val="both"/>
      </w:pPr>
      <w:r>
        <w:rPr/>
        <w:t xml:space="preserve"> </w:t>
      </w:r>
    </w:p>
    <w:p>
      <w:pPr>
        <w:jc w:val="both"/>
      </w:pPr>
    </w:p>
    <w:p>
      <w:pPr>
        <w:jc w:val="both"/>
      </w:pPr>
    </w:p>
    <w:p>
      <w:pPr>
        <w:jc w:val="both"/>
      </w:pPr>
    </w:p>
    <w:p/>
    <w:p>
      <w:r>
        <w:rPr/>
        <w:t xml:space="preserve"> </w:t>
      </w:r>
    </w:p>
    <w:p>
      <w:pPr>
        <w:jc w:val="both"/>
      </w:pPr>
      <w:r>
        <w:rPr>
          <w:color w:val="000000"/>
          <w:sz w:val="24"/>
        </w:rPr>
        <w:t>甲方（需方）：</w:t>
      </w:r>
      <w:r>
        <w:rPr>
          <w:sz w:val="21"/>
          <w:u w:val="single"/>
        </w:rPr>
        <w:t xml:space="preserve">                </w:t>
      </w:r>
    </w:p>
    <w:p>
      <w:pPr>
        <w:jc w:val="both"/>
      </w:pPr>
      <w:r>
        <w:rPr>
          <w:color w:val="000000"/>
          <w:sz w:val="24"/>
        </w:rPr>
        <w:t>电话：</w:t>
      </w:r>
      <w:r>
        <w:rPr>
          <w:sz w:val="21"/>
          <w:u w:val="single"/>
        </w:rPr>
        <w:t xml:space="preserve">         </w:t>
      </w:r>
      <w:r>
        <w:rPr>
          <w:color w:val="000000"/>
          <w:sz w:val="24"/>
        </w:rPr>
        <w:t>传真</w:t>
      </w:r>
      <w:r>
        <w:rPr>
          <w:color w:val="000000"/>
          <w:sz w:val="24"/>
        </w:rPr>
        <w:t>：</w:t>
      </w:r>
      <w:r>
        <w:rPr>
          <w:sz w:val="21"/>
          <w:u w:val="single"/>
        </w:rPr>
        <w:t xml:space="preserve">       </w:t>
      </w:r>
      <w:r>
        <w:rPr>
          <w:color w:val="000000"/>
          <w:sz w:val="24"/>
        </w:rPr>
        <w:t>地址：</w:t>
      </w:r>
      <w:r>
        <w:rPr>
          <w:sz w:val="21"/>
          <w:u w:val="single"/>
        </w:rPr>
        <w:t xml:space="preserve">        </w:t>
      </w:r>
    </w:p>
    <w:p>
      <w:pPr>
        <w:jc w:val="both"/>
      </w:pPr>
      <w:r>
        <w:rPr>
          <w:color w:val="000000"/>
          <w:sz w:val="24"/>
        </w:rPr>
        <w:t>乙方：</w:t>
      </w:r>
      <w:r>
        <w:rPr>
          <w:sz w:val="21"/>
          <w:u w:val="single"/>
        </w:rPr>
        <w:t xml:space="preserve">           </w:t>
      </w:r>
    </w:p>
    <w:p>
      <w:pPr>
        <w:jc w:val="both"/>
      </w:pPr>
      <w:r>
        <w:rPr>
          <w:color w:val="000000"/>
          <w:sz w:val="24"/>
        </w:rPr>
        <w:t>电话：</w:t>
      </w:r>
      <w:r>
        <w:rPr>
          <w:sz w:val="21"/>
          <w:u w:val="single"/>
        </w:rPr>
        <w:t xml:space="preserve">          </w:t>
      </w:r>
      <w:r>
        <w:rPr>
          <w:color w:val="000000"/>
          <w:sz w:val="24"/>
        </w:rPr>
        <w:t>传真：</w:t>
      </w:r>
      <w:r>
        <w:rPr>
          <w:sz w:val="21"/>
          <w:u w:val="single"/>
        </w:rPr>
        <w:t xml:space="preserve">       </w:t>
      </w:r>
      <w:r>
        <w:rPr>
          <w:color w:val="000000"/>
          <w:sz w:val="24"/>
        </w:rPr>
        <w:t>地址：</w:t>
      </w:r>
      <w:r>
        <w:rPr>
          <w:sz w:val="21"/>
          <w:u w:val="single"/>
        </w:rPr>
        <w:t xml:space="preserve">       </w:t>
      </w:r>
    </w:p>
    <w:p>
      <w:pPr>
        <w:ind w:firstLine="480"/>
        <w:jc w:val="both"/>
      </w:pPr>
    </w:p>
    <w:p>
      <w:pPr>
        <w:ind w:firstLine="480"/>
        <w:jc w:val="both"/>
      </w:pPr>
      <w:r>
        <w:rPr>
          <w:color w:val="000000"/>
          <w:sz w:val="24"/>
        </w:rPr>
        <w:t>根据</w:t>
      </w:r>
      <w:r>
        <w:rPr>
          <w:sz w:val="21"/>
          <w:u w:val="single"/>
        </w:rPr>
        <w:t xml:space="preserve">                                  </w:t>
      </w:r>
      <w:r>
        <w:rPr>
          <w:color w:val="000000"/>
          <w:sz w:val="24"/>
        </w:rPr>
        <w:t>项目的采购结果，按照《中华人民共和国政府采购法》，《中华人民共和国民法典</w:t>
      </w:r>
      <w:r>
        <w:rPr>
          <w:color w:val="000000"/>
          <w:sz w:val="24"/>
        </w:rPr>
        <w:t>(</w:t>
      </w:r>
      <w:r>
        <w:rPr>
          <w:color w:val="000000"/>
          <w:sz w:val="24"/>
        </w:rPr>
        <w:t>合同编</w:t>
      </w:r>
      <w:r>
        <w:rPr>
          <w:color w:val="000000"/>
          <w:sz w:val="24"/>
        </w:rPr>
        <w:t>)</w:t>
      </w:r>
      <w:r>
        <w:rPr>
          <w:color w:val="000000"/>
          <w:sz w:val="24"/>
        </w:rPr>
        <w:t>》 的规定，经双方协商，本着平等互利和诚实信用的原则，一致同意遵守本合同如下：</w:t>
      </w:r>
    </w:p>
    <w:p>
      <w:pPr>
        <w:ind w:firstLine="480"/>
        <w:jc w:val="both"/>
      </w:pPr>
      <w:r>
        <w:rPr>
          <w:color w:val="000000"/>
          <w:sz w:val="24"/>
        </w:rPr>
        <w:t>一、合同金额</w:t>
      </w:r>
    </w:p>
    <w:p>
      <w:pPr>
        <w:ind w:firstLine="480"/>
        <w:jc w:val="both"/>
      </w:pPr>
      <w:r>
        <w:rPr>
          <w:color w:val="000000"/>
          <w:sz w:val="24"/>
        </w:rPr>
        <w:t>合同金额为（大写）：</w:t>
      </w:r>
      <w:r>
        <w:rPr>
          <w:color w:val="000000"/>
          <w:sz w:val="24"/>
        </w:rPr>
        <w:t>_____________</w:t>
      </w:r>
      <w:r>
        <w:rPr>
          <w:color w:val="000000"/>
          <w:sz w:val="24"/>
        </w:rPr>
        <w:t>元（￥</w:t>
      </w:r>
      <w:r>
        <w:rPr>
          <w:color w:val="000000"/>
          <w:sz w:val="24"/>
        </w:rPr>
        <w:t>____________</w:t>
      </w:r>
      <w:r>
        <w:rPr>
          <w:color w:val="000000"/>
          <w:sz w:val="24"/>
        </w:rPr>
        <w:t>元）人民币。</w:t>
      </w:r>
    </w:p>
    <w:p>
      <w:pPr>
        <w:ind w:firstLine="480"/>
        <w:jc w:val="both"/>
      </w:pPr>
      <w:r>
        <w:rPr>
          <w:color w:val="000000"/>
          <w:sz w:val="24"/>
        </w:rPr>
        <w:t>二、</w:t>
      </w:r>
      <w:r>
        <w:rPr>
          <w:b/>
          <w:color w:val="000000"/>
          <w:sz w:val="24"/>
        </w:rPr>
        <w:t>服务内容</w:t>
      </w:r>
      <w:r>
        <w:rPr>
          <w:color w:val="000000"/>
          <w:sz w:val="24"/>
        </w:rPr>
        <w:t>：</w:t>
      </w:r>
    </w:p>
    <w:p>
      <w:pPr>
        <w:ind w:firstLine="480"/>
        <w:jc w:val="both"/>
      </w:pPr>
      <w:r>
        <w:rPr>
          <w:color w:val="000000"/>
          <w:sz w:val="24"/>
        </w:rPr>
        <w:t>（一）委托内容：</w:t>
      </w:r>
    </w:p>
    <w:p>
      <w:pPr>
        <w:ind w:firstLine="480"/>
        <w:jc w:val="both"/>
      </w:pPr>
      <w:r>
        <w:rPr>
          <w:color w:val="000000"/>
          <w:sz w:val="24"/>
        </w:rPr>
        <w:t>1</w:t>
      </w:r>
      <w:r>
        <w:rPr>
          <w:color w:val="000000"/>
          <w:sz w:val="24"/>
        </w:rPr>
        <w:t>、资料检查：重点对上传到土壤普查工作平台上的样点信息、记录等进行检查。检查内容包括：采样点位检查、采样记录和照片、采样环节自查情况检查。对外业调查队上传的文件资料开展</w:t>
      </w:r>
      <w:r>
        <w:rPr>
          <w:color w:val="000000"/>
          <w:sz w:val="24"/>
        </w:rPr>
        <w:t>100%</w:t>
      </w:r>
      <w:r>
        <w:rPr>
          <w:color w:val="000000"/>
          <w:sz w:val="24"/>
        </w:rPr>
        <w:t>质量监督检查和审核确认，共计</w:t>
      </w:r>
      <w:r>
        <w:rPr>
          <w:color w:val="000000"/>
          <w:sz w:val="24"/>
        </w:rPr>
        <w:t>146</w:t>
      </w:r>
      <w:r>
        <w:rPr>
          <w:color w:val="000000"/>
          <w:sz w:val="24"/>
        </w:rPr>
        <w:t>个表层土壤样品的外业调查与采样数据。</w:t>
      </w:r>
    </w:p>
    <w:p>
      <w:pPr>
        <w:ind w:firstLine="480"/>
        <w:jc w:val="both"/>
      </w:pPr>
      <w:r>
        <w:rPr>
          <w:color w:val="000000"/>
          <w:sz w:val="24"/>
        </w:rPr>
        <w:t>2</w:t>
      </w:r>
      <w:r>
        <w:rPr>
          <w:color w:val="000000"/>
          <w:sz w:val="24"/>
        </w:rPr>
        <w:t>、现场检查：采取与专家技术指导服务相结合的方式开展，覆盖外业调查采样全过程。检查内容包括：采样点检查、采样方法检查、采样记录检查、样品检查、已采样品暂存检查、样品交接检查、样品包装及运输检查。按《第三次全国土壤普查全程质量控制技术规范》（修订版）组织野外工作经验丰富、熟悉土壤学或自然地理学、环境科学等专业知识的专家或专业技术人员参与现场检查（如特殊原因无法实地开展现场检查，则通过视频连线方式进行检查，检查内容与要求同现场检查）。每个外业调查队至少要有１位专家或专业技术人员全程跟踪开展现场检查工作，现场检查覆盖</w:t>
      </w:r>
      <w:r>
        <w:rPr>
          <w:color w:val="000000"/>
          <w:sz w:val="24"/>
        </w:rPr>
        <w:t>1</w:t>
      </w:r>
      <w:r>
        <w:rPr>
          <w:color w:val="000000"/>
          <w:sz w:val="24"/>
        </w:rPr>
        <w:t>00%</w:t>
      </w:r>
      <w:r>
        <w:rPr>
          <w:color w:val="000000"/>
          <w:sz w:val="24"/>
        </w:rPr>
        <w:t>采样点，现场重点检查不低于采样任务的</w:t>
      </w:r>
      <w:r>
        <w:rPr>
          <w:color w:val="000000"/>
          <w:sz w:val="24"/>
        </w:rPr>
        <w:t>1</w:t>
      </w:r>
      <w:r>
        <w:rPr>
          <w:color w:val="000000"/>
          <w:sz w:val="24"/>
        </w:rPr>
        <w:t>0%</w:t>
      </w:r>
      <w:r>
        <w:rPr>
          <w:color w:val="000000"/>
          <w:sz w:val="24"/>
        </w:rPr>
        <w:t>。</w:t>
      </w:r>
    </w:p>
    <w:p>
      <w:pPr>
        <w:ind w:firstLine="480"/>
        <w:jc w:val="both"/>
      </w:pPr>
      <w:r>
        <w:rPr>
          <w:color w:val="000000"/>
          <w:sz w:val="24"/>
        </w:rPr>
        <w:t>3</w:t>
      </w:r>
      <w:r>
        <w:rPr>
          <w:color w:val="000000"/>
          <w:sz w:val="24"/>
        </w:rPr>
        <w:t>、对经过省级质量控制实验室确认的数据进行</w:t>
      </w:r>
      <w:r>
        <w:rPr>
          <w:color w:val="000000"/>
          <w:sz w:val="24"/>
        </w:rPr>
        <w:t>1</w:t>
      </w:r>
      <w:r>
        <w:rPr>
          <w:color w:val="000000"/>
          <w:sz w:val="24"/>
        </w:rPr>
        <w:t>00%</w:t>
      </w:r>
      <w:r>
        <w:rPr>
          <w:color w:val="000000"/>
          <w:sz w:val="24"/>
        </w:rPr>
        <w:t>完整性、规范性、合理性审查。共计</w:t>
      </w:r>
      <w:r>
        <w:rPr>
          <w:color w:val="000000"/>
          <w:sz w:val="24"/>
        </w:rPr>
        <w:t>146</w:t>
      </w:r>
      <w:r>
        <w:rPr>
          <w:color w:val="000000"/>
          <w:sz w:val="24"/>
        </w:rPr>
        <w:t>个表层土壤样品和</w:t>
      </w:r>
      <w:r>
        <w:rPr>
          <w:color w:val="000000"/>
          <w:sz w:val="24"/>
        </w:rPr>
        <w:t>18</w:t>
      </w:r>
      <w:r>
        <w:rPr>
          <w:color w:val="000000"/>
          <w:sz w:val="24"/>
        </w:rPr>
        <w:t>个土壤剖面样品的检测数据。</w:t>
      </w:r>
    </w:p>
    <w:p>
      <w:pPr>
        <w:ind w:firstLine="480"/>
        <w:jc w:val="both"/>
      </w:pPr>
      <w:r>
        <w:rPr>
          <w:color w:val="000000"/>
          <w:sz w:val="24"/>
        </w:rPr>
        <w:t>4</w:t>
      </w:r>
      <w:r>
        <w:rPr>
          <w:color w:val="000000"/>
          <w:sz w:val="24"/>
        </w:rPr>
        <w:t>、编制县级质量保证与质量控制报告</w:t>
      </w:r>
      <w:r>
        <w:rPr>
          <w:color w:val="000000"/>
          <w:sz w:val="24"/>
        </w:rPr>
        <w:t>1</w:t>
      </w:r>
      <w:r>
        <w:rPr>
          <w:color w:val="000000"/>
          <w:sz w:val="24"/>
        </w:rPr>
        <w:t>份。</w:t>
      </w:r>
    </w:p>
    <w:p>
      <w:pPr>
        <w:ind w:firstLine="480"/>
        <w:jc w:val="both"/>
      </w:pPr>
      <w:r>
        <w:rPr>
          <w:color w:val="000000"/>
          <w:sz w:val="24"/>
        </w:rPr>
        <w:t>（二）人员要求：</w:t>
      </w:r>
    </w:p>
    <w:p>
      <w:pPr>
        <w:ind w:firstLine="480"/>
        <w:jc w:val="both"/>
      </w:pPr>
      <w:r>
        <w:rPr>
          <w:color w:val="000000"/>
          <w:sz w:val="24"/>
        </w:rPr>
        <w:t>1</w:t>
      </w:r>
      <w:r>
        <w:rPr>
          <w:color w:val="000000"/>
          <w:sz w:val="24"/>
        </w:rPr>
        <w:t>、能有效组织我市土壤普查办委托的专家或专业技术人员参与现场检查。同时，技术负责人需具备丰富野外工作经验，熟悉土壤学或自然地理学、环境科学等专业知识；</w:t>
      </w:r>
    </w:p>
    <w:p>
      <w:pPr>
        <w:ind w:firstLine="480"/>
        <w:jc w:val="both"/>
      </w:pPr>
      <w:r>
        <w:rPr>
          <w:color w:val="000000"/>
          <w:sz w:val="24"/>
        </w:rPr>
        <w:t>2</w:t>
      </w:r>
      <w:r>
        <w:rPr>
          <w:color w:val="000000"/>
          <w:sz w:val="24"/>
        </w:rPr>
        <w:t>、组织的数据审核人员需由科研、教学和推广领域多年从事土壤学或植物学、环境类等相关专业的博士学位，或具有高级专业技术职称专家组成，审核责任专家至少</w:t>
      </w:r>
      <w:r>
        <w:rPr>
          <w:color w:val="000000"/>
          <w:sz w:val="24"/>
        </w:rPr>
        <w:t>2</w:t>
      </w:r>
      <w:r>
        <w:rPr>
          <w:color w:val="000000"/>
          <w:sz w:val="24"/>
        </w:rPr>
        <w:t>名。</w:t>
      </w:r>
    </w:p>
    <w:p>
      <w:pPr>
        <w:ind w:firstLine="480"/>
        <w:jc w:val="both"/>
      </w:pPr>
      <w:r>
        <w:rPr>
          <w:color w:val="000000"/>
          <w:sz w:val="24"/>
        </w:rPr>
        <w:t>（三）保障工作质量的资质要求：</w:t>
      </w:r>
    </w:p>
    <w:p>
      <w:pPr>
        <w:ind w:firstLine="480"/>
        <w:jc w:val="both"/>
      </w:pPr>
      <w:r>
        <w:rPr>
          <w:color w:val="000000"/>
          <w:sz w:val="24"/>
        </w:rPr>
        <w:t>所有参与全过程质量控制的人员必须取得广东省第三次全国土壤普查表层样点外业调查采样领队（质量检查员）资格证书。</w:t>
      </w:r>
    </w:p>
    <w:p>
      <w:pPr>
        <w:ind w:firstLine="480"/>
        <w:jc w:val="both"/>
      </w:pPr>
      <w:r>
        <w:rPr>
          <w:color w:val="000000"/>
          <w:sz w:val="24"/>
        </w:rPr>
        <w:t>（四）实施进度要求：</w:t>
      </w:r>
    </w:p>
    <w:p>
      <w:pPr>
        <w:ind w:firstLine="480"/>
        <w:jc w:val="both"/>
      </w:pPr>
      <w:r>
        <w:rPr>
          <w:color w:val="000000"/>
          <w:sz w:val="24"/>
        </w:rPr>
        <w:t xml:space="preserve">   </w:t>
      </w:r>
      <w:r>
        <w:rPr>
          <w:color w:val="000000"/>
          <w:sz w:val="24"/>
        </w:rPr>
        <w:t>任务完成进度如下表：</w:t>
      </w:r>
    </w:p>
    <w:tbl>
      <w:tblPr>
        <w:tblW w:w="0" w:type="auto"/>
        <w:tblBorders>
          <w:top w:val="none" w:color="000000" w:sz="4"/>
          <w:left w:val="none" w:color="000000" w:sz="4"/>
          <w:bottom w:val="none" w:color="000000" w:sz="4"/>
          <w:right w:val="none" w:color="000000" w:sz="4"/>
          <w:insideH w:val="none"/>
          <w:insideV w:val="none"/>
        </w:tblBorders>
      </w:tblPr>
      <w:tblGrid>
        <w:gridCol w:w="3030"/>
        <w:gridCol w:w="1635"/>
        <w:gridCol w:w="2625"/>
      </w:tblGrid>
      <w:tr>
        <w:tc>
          <w:tcPr>
            <w:tcW w:type="dxa" w:w="3030"/>
            <w:tcBorders>
              <w:top w:val="single" w:color="000000" w:sz="4"/>
              <w:left w:val="single" w:color="000000" w:sz="4"/>
              <w:bottom w:val="single" w:color="000000" w:sz="4"/>
              <w:right w:val="single" w:color="000000" w:sz="4"/>
            </w:tcBorders>
            <w:vAlign w:val="top"/>
          </w:tcPr>
          <w:p>
            <w:pPr>
              <w:jc w:val="both"/>
            </w:pPr>
            <w:r>
              <w:rPr>
                <w:sz w:val="24"/>
              </w:rPr>
              <w:t>工作内容</w:t>
            </w:r>
          </w:p>
        </w:tc>
        <w:tc>
          <w:tcPr>
            <w:tcW w:type="dxa" w:w="1635"/>
            <w:tcBorders>
              <w:top w:val="single" w:color="000000" w:sz="4"/>
              <w:left w:val="single" w:color="000000" w:sz="4"/>
              <w:bottom w:val="single" w:color="000000" w:sz="4"/>
              <w:right w:val="single" w:color="000000" w:sz="4"/>
            </w:tcBorders>
            <w:vAlign w:val="top"/>
          </w:tcPr>
          <w:p>
            <w:pPr>
              <w:jc w:val="both"/>
            </w:pPr>
            <w:r>
              <w:rPr>
                <w:sz w:val="24"/>
              </w:rPr>
              <w:t>完成率</w:t>
            </w:r>
          </w:p>
        </w:tc>
        <w:tc>
          <w:tcPr>
            <w:tcW w:type="dxa" w:w="2625"/>
            <w:tcBorders>
              <w:top w:val="single" w:color="000000" w:sz="4"/>
              <w:left w:val="single" w:color="000000" w:sz="4"/>
              <w:bottom w:val="single" w:color="000000" w:sz="4"/>
              <w:right w:val="single" w:color="000000" w:sz="4"/>
            </w:tcBorders>
            <w:vAlign w:val="top"/>
          </w:tcPr>
          <w:p>
            <w:pPr>
              <w:jc w:val="both"/>
            </w:pPr>
            <w:r>
              <w:rPr>
                <w:sz w:val="24"/>
              </w:rPr>
              <w:t>完成时间</w:t>
            </w:r>
          </w:p>
        </w:tc>
      </w:tr>
      <w:tr>
        <w:tc>
          <w:tcPr>
            <w:tcW w:type="dxa" w:w="3030"/>
            <w:tcBorders>
              <w:top w:val="none" w:color="000000" w:sz="4"/>
              <w:left w:val="single" w:color="000000" w:sz="4"/>
              <w:bottom w:val="single" w:color="000000" w:sz="4"/>
              <w:right w:val="single" w:color="000000" w:sz="4"/>
            </w:tcBorders>
            <w:vAlign w:val="top"/>
          </w:tcPr>
          <w:p>
            <w:pPr>
              <w:jc w:val="both"/>
            </w:pPr>
            <w:r>
              <w:rPr>
                <w:sz w:val="24"/>
              </w:rPr>
              <w:t>全过程质量控制</w:t>
            </w:r>
          </w:p>
        </w:tc>
        <w:tc>
          <w:tcPr>
            <w:tcW w:type="dxa" w:w="1635"/>
            <w:tcBorders>
              <w:top w:val="none" w:color="000000" w:sz="4"/>
              <w:left w:val="single" w:color="000000" w:sz="4"/>
              <w:bottom w:val="single" w:color="000000" w:sz="4"/>
              <w:right w:val="single" w:color="000000" w:sz="4"/>
            </w:tcBorders>
            <w:vAlign w:val="top"/>
          </w:tcPr>
          <w:p>
            <w:pPr>
              <w:jc w:val="both"/>
            </w:pPr>
            <w:r>
              <w:rPr>
                <w:sz w:val="24"/>
              </w:rPr>
              <w:t>100%</w:t>
            </w:r>
          </w:p>
        </w:tc>
        <w:tc>
          <w:tcPr>
            <w:tcW w:type="dxa" w:w="2625"/>
            <w:tcBorders>
              <w:top w:val="none" w:color="000000" w:sz="4"/>
              <w:left w:val="single" w:color="000000" w:sz="4"/>
              <w:bottom w:val="single" w:color="000000" w:sz="4"/>
              <w:right w:val="single" w:color="000000" w:sz="4"/>
            </w:tcBorders>
            <w:vAlign w:val="top"/>
          </w:tcPr>
          <w:p>
            <w:pPr>
              <w:jc w:val="both"/>
            </w:pPr>
            <w:r>
              <w:rPr>
                <w:sz w:val="24"/>
              </w:rPr>
              <w:t>2024年8月31日之前</w:t>
            </w:r>
          </w:p>
        </w:tc>
      </w:tr>
      <w:tr>
        <w:tc>
          <w:tcPr>
            <w:tcW w:type="dxa" w:w="3030"/>
            <w:tcBorders>
              <w:top w:val="none" w:color="000000" w:sz="4"/>
              <w:left w:val="single" w:color="000000" w:sz="4"/>
              <w:bottom w:val="single" w:color="000000" w:sz="4"/>
              <w:right w:val="single" w:color="000000" w:sz="4"/>
            </w:tcBorders>
            <w:vAlign w:val="top"/>
          </w:tcPr>
          <w:p>
            <w:pPr>
              <w:jc w:val="both"/>
            </w:pPr>
            <w:r>
              <w:rPr>
                <w:sz w:val="24"/>
              </w:rPr>
              <w:t>提交县级质量保证与质量控制报告</w:t>
            </w:r>
          </w:p>
        </w:tc>
        <w:tc>
          <w:tcPr>
            <w:tcW w:type="dxa" w:w="1635"/>
            <w:tcBorders>
              <w:top w:val="none" w:color="000000" w:sz="4"/>
              <w:left w:val="single" w:color="000000" w:sz="4"/>
              <w:bottom w:val="single" w:color="000000" w:sz="4"/>
              <w:right w:val="single" w:color="000000" w:sz="4"/>
            </w:tcBorders>
            <w:vAlign w:val="top"/>
          </w:tcPr>
          <w:p>
            <w:pPr>
              <w:jc w:val="both"/>
            </w:pPr>
            <w:r>
              <w:rPr>
                <w:sz w:val="24"/>
              </w:rPr>
              <w:t>100%</w:t>
            </w:r>
          </w:p>
        </w:tc>
        <w:tc>
          <w:tcPr>
            <w:tcW w:type="dxa" w:w="2625"/>
            <w:tcBorders>
              <w:top w:val="none" w:color="000000" w:sz="4"/>
              <w:left w:val="single" w:color="000000" w:sz="4"/>
              <w:bottom w:val="single" w:color="000000" w:sz="4"/>
              <w:right w:val="single" w:color="000000" w:sz="4"/>
            </w:tcBorders>
            <w:vAlign w:val="top"/>
          </w:tcPr>
          <w:p>
            <w:pPr>
              <w:jc w:val="both"/>
            </w:pPr>
            <w:r>
              <w:rPr>
                <w:sz w:val="24"/>
              </w:rPr>
              <w:t>20</w:t>
            </w:r>
            <w:r>
              <w:rPr>
                <w:sz w:val="24"/>
              </w:rPr>
              <w:t>25</w:t>
            </w:r>
            <w:r>
              <w:rPr>
                <w:sz w:val="24"/>
              </w:rPr>
              <w:t>年</w:t>
            </w:r>
            <w:r>
              <w:rPr>
                <w:sz w:val="24"/>
              </w:rPr>
              <w:t>3</w:t>
            </w:r>
            <w:r>
              <w:rPr>
                <w:sz w:val="24"/>
              </w:rPr>
              <w:t>月</w:t>
            </w:r>
            <w:r>
              <w:rPr>
                <w:sz w:val="24"/>
              </w:rPr>
              <w:t>31日之前</w:t>
            </w:r>
          </w:p>
        </w:tc>
      </w:tr>
      <w:tr>
        <w:tc>
          <w:tcPr>
            <w:tcW w:type="dxa" w:w="3030"/>
            <w:tcBorders>
              <w:top w:val="none" w:color="000000" w:sz="4"/>
              <w:left w:val="single" w:color="000000" w:sz="4"/>
              <w:bottom w:val="single" w:color="000000" w:sz="4"/>
              <w:right w:val="single" w:color="000000" w:sz="4"/>
            </w:tcBorders>
            <w:vAlign w:val="top"/>
          </w:tcPr>
          <w:p>
            <w:pPr>
              <w:jc w:val="both"/>
            </w:pPr>
            <w:r>
              <w:rPr>
                <w:sz w:val="24"/>
              </w:rPr>
              <w:t>成果验收</w:t>
            </w:r>
          </w:p>
        </w:tc>
        <w:tc>
          <w:tcPr>
            <w:tcW w:type="dxa" w:w="1635"/>
            <w:tcBorders>
              <w:top w:val="none" w:color="000000" w:sz="4"/>
              <w:left w:val="single" w:color="000000" w:sz="4"/>
              <w:bottom w:val="single" w:color="000000" w:sz="4"/>
              <w:right w:val="single" w:color="000000" w:sz="4"/>
            </w:tcBorders>
            <w:vAlign w:val="top"/>
          </w:tcPr>
          <w:p>
            <w:pPr>
              <w:jc w:val="both"/>
            </w:pPr>
            <w:r>
              <w:rPr>
                <w:sz w:val="24"/>
              </w:rPr>
              <w:t>100%</w:t>
            </w:r>
          </w:p>
        </w:tc>
        <w:tc>
          <w:tcPr>
            <w:tcW w:type="dxa" w:w="2625"/>
            <w:tcBorders>
              <w:top w:val="none" w:color="000000" w:sz="4"/>
              <w:left w:val="single" w:color="000000" w:sz="4"/>
              <w:bottom w:val="single" w:color="000000" w:sz="4"/>
              <w:right w:val="single" w:color="000000" w:sz="4"/>
            </w:tcBorders>
            <w:vAlign w:val="top"/>
          </w:tcPr>
          <w:p>
            <w:pPr>
              <w:jc w:val="both"/>
            </w:pPr>
            <w:r>
              <w:rPr>
                <w:sz w:val="24"/>
              </w:rPr>
              <w:t>2025年</w:t>
            </w:r>
            <w:r>
              <w:rPr>
                <w:sz w:val="24"/>
              </w:rPr>
              <w:t>5</w:t>
            </w:r>
            <w:r>
              <w:rPr>
                <w:sz w:val="24"/>
              </w:rPr>
              <w:t>月</w:t>
            </w:r>
            <w:r>
              <w:rPr>
                <w:sz w:val="24"/>
              </w:rPr>
              <w:t>31日之前</w:t>
            </w:r>
          </w:p>
        </w:tc>
      </w:tr>
    </w:tbl>
    <w:p>
      <w:pPr>
        <w:ind w:firstLine="480"/>
        <w:jc w:val="both"/>
      </w:pPr>
      <w:r>
        <w:rPr>
          <w:color w:val="000000"/>
          <w:sz w:val="24"/>
        </w:rPr>
        <w:t>若国家、省有新要求且在上述时间节点前的，按国家、省要求的时间节点完成。</w:t>
      </w:r>
    </w:p>
    <w:p>
      <w:pPr>
        <w:ind w:firstLine="480"/>
        <w:jc w:val="both"/>
      </w:pPr>
      <w:r>
        <w:rPr>
          <w:color w:val="000000"/>
          <w:sz w:val="24"/>
        </w:rPr>
        <w:t>（五）其他实施要求</w:t>
      </w:r>
    </w:p>
    <w:p>
      <w:pPr>
        <w:ind w:firstLine="480"/>
        <w:jc w:val="both"/>
      </w:pPr>
      <w:r>
        <w:rPr>
          <w:color w:val="000000"/>
          <w:sz w:val="24"/>
        </w:rPr>
        <w:t>1</w:t>
      </w:r>
      <w:r>
        <w:rPr>
          <w:color w:val="000000"/>
          <w:sz w:val="24"/>
        </w:rPr>
        <w:t>、合同签订后</w:t>
      </w:r>
      <w:r>
        <w:rPr>
          <w:color w:val="000000"/>
          <w:sz w:val="24"/>
        </w:rPr>
        <w:t>1</w:t>
      </w:r>
      <w:r>
        <w:rPr>
          <w:color w:val="000000"/>
          <w:sz w:val="24"/>
        </w:rPr>
        <w:t>个月内提交土壤普查全过程质量控制工作方案，上述工作方案经甲方审定后，乙方须严格遵照执行。</w:t>
      </w:r>
    </w:p>
    <w:p>
      <w:pPr>
        <w:ind w:firstLine="480"/>
        <w:jc w:val="both"/>
      </w:pPr>
      <w:r>
        <w:rPr>
          <w:color w:val="000000"/>
          <w:sz w:val="24"/>
        </w:rPr>
        <w:t>2</w:t>
      </w:r>
      <w:r>
        <w:rPr>
          <w:color w:val="000000"/>
          <w:sz w:val="24"/>
        </w:rPr>
        <w:t>、甲方拥有本合同项目的所有中间成果和最终成果，以及与之相关的所有权利。项目相关数据、记录、成果和使用权归甲方所有，未经同意，乙方不得对外公开发表。</w:t>
      </w:r>
    </w:p>
    <w:p>
      <w:pPr>
        <w:ind w:firstLine="480"/>
        <w:jc w:val="both"/>
      </w:pPr>
      <w:r>
        <w:rPr>
          <w:color w:val="000000"/>
          <w:sz w:val="24"/>
        </w:rPr>
        <w:t>3</w:t>
      </w:r>
      <w:r>
        <w:rPr>
          <w:color w:val="000000"/>
          <w:sz w:val="24"/>
        </w:rPr>
        <w:t>、乙方项目团队一经确定，原则上不得变更，确因客观原因导致成员发生变更，需事先经甲方同意，如项目团队成员工作达不到甲方要求，乙方须根据甲方要求，更换其他能胜任此项工作的人员。</w:t>
      </w:r>
    </w:p>
    <w:p>
      <w:pPr>
        <w:ind w:firstLine="480"/>
        <w:jc w:val="both"/>
      </w:pPr>
      <w:r>
        <w:rPr>
          <w:color w:val="000000"/>
          <w:sz w:val="24"/>
        </w:rPr>
        <w:t>4</w:t>
      </w:r>
      <w:r>
        <w:rPr>
          <w:color w:val="000000"/>
          <w:sz w:val="24"/>
        </w:rPr>
        <w:t>、乙方应保证本项目响应的技术、服务或其任何一部分不会产生因第三方提出侵犯其专利权、商标权或其他知识产权而引起的法律和经济纠纷；如因第三方提出其专利权、商标权或其他知识产权的侵权之诉，则一切法律责任由乙方承担。</w:t>
      </w:r>
    </w:p>
    <w:p>
      <w:pPr>
        <w:ind w:firstLine="480"/>
        <w:jc w:val="both"/>
      </w:pPr>
      <w:r>
        <w:rPr>
          <w:color w:val="000000"/>
          <w:sz w:val="24"/>
        </w:rPr>
        <w:t>（六）服务要求</w:t>
      </w:r>
    </w:p>
    <w:p>
      <w:pPr>
        <w:ind w:firstLine="480"/>
        <w:jc w:val="both"/>
      </w:pPr>
      <w:r>
        <w:rPr>
          <w:color w:val="000000"/>
          <w:sz w:val="24"/>
        </w:rPr>
        <w:t>1.</w:t>
      </w:r>
      <w:r>
        <w:rPr>
          <w:color w:val="000000"/>
          <w:sz w:val="24"/>
        </w:rPr>
        <w:t>对掌握政策的要求：乙方应熟悉国家、省、市有关部门关于农业方面的法律、法规及相关政策，并具有同类项目经验。</w:t>
      </w:r>
    </w:p>
    <w:p>
      <w:pPr>
        <w:ind w:firstLine="480"/>
        <w:jc w:val="both"/>
      </w:pPr>
      <w:r>
        <w:rPr>
          <w:color w:val="000000"/>
          <w:sz w:val="24"/>
        </w:rPr>
        <w:t>2.</w:t>
      </w:r>
      <w:r>
        <w:rPr>
          <w:color w:val="000000"/>
          <w:sz w:val="24"/>
        </w:rPr>
        <w:t>乙方在提供专业化服务工作中要恪守独立、客观、公正的原则，实事求是、认真负责、努力工作，讲求质量，确保本项目工作顺利完成。</w:t>
      </w:r>
    </w:p>
    <w:p>
      <w:pPr>
        <w:ind w:firstLine="480"/>
        <w:jc w:val="both"/>
      </w:pPr>
      <w:r>
        <w:rPr>
          <w:color w:val="000000"/>
          <w:sz w:val="24"/>
        </w:rPr>
        <w:t>3.</w:t>
      </w:r>
      <w:r>
        <w:rPr>
          <w:color w:val="000000"/>
          <w:sz w:val="24"/>
        </w:rPr>
        <w:t>乙方要廉洁自律，忠于职守，遵守工作纪律。</w:t>
      </w:r>
    </w:p>
    <w:p>
      <w:pPr>
        <w:ind w:firstLine="480"/>
        <w:jc w:val="both"/>
      </w:pPr>
      <w:r>
        <w:rPr>
          <w:color w:val="000000"/>
          <w:sz w:val="24"/>
        </w:rPr>
        <w:t>4.</w:t>
      </w:r>
      <w:r>
        <w:rPr>
          <w:color w:val="000000"/>
          <w:sz w:val="24"/>
        </w:rPr>
        <w:t>乙方应当遵守保密原则，除法律、法规另有规定外，未经甲方许可，不得泄露工作过程中获知的商业秘密和业务资料。</w:t>
      </w:r>
    </w:p>
    <w:p>
      <w:pPr>
        <w:ind w:firstLine="480"/>
        <w:jc w:val="both"/>
      </w:pPr>
      <w:r>
        <w:rPr>
          <w:color w:val="000000"/>
          <w:sz w:val="24"/>
        </w:rPr>
        <w:t>（</w:t>
      </w:r>
      <w:r>
        <w:rPr>
          <w:color w:val="000000"/>
          <w:sz w:val="24"/>
        </w:rPr>
        <w:t>七</w:t>
      </w:r>
      <w:r>
        <w:rPr>
          <w:color w:val="000000"/>
          <w:sz w:val="24"/>
        </w:rPr>
        <w:t>）服务期间（项目完成期限）</w:t>
      </w:r>
    </w:p>
    <w:p>
      <w:pPr>
        <w:ind w:firstLine="480"/>
        <w:jc w:val="both"/>
      </w:pPr>
      <w:r>
        <w:rPr>
          <w:color w:val="000000"/>
          <w:sz w:val="24"/>
        </w:rPr>
        <w:t>委托服务期间自</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日至</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日止。</w:t>
      </w:r>
    </w:p>
    <w:p>
      <w:pPr>
        <w:jc w:val="both"/>
      </w:pPr>
      <w:r>
        <w:rPr>
          <w:color w:val="000000"/>
          <w:sz w:val="24"/>
        </w:rPr>
        <w:t>三、付款方式</w:t>
      </w:r>
    </w:p>
    <w:p>
      <w:pPr>
        <w:ind w:firstLine="480"/>
        <w:jc w:val="both"/>
      </w:pPr>
      <w:r>
        <w:rPr>
          <w:color w:val="000000"/>
          <w:sz w:val="24"/>
        </w:rPr>
        <w:t>服务费按中标价总价包干。若因上级政策改变导致任务量增加，则本项目服务费用不再增加，如任务量减少，则按实结算。</w:t>
      </w:r>
    </w:p>
    <w:p>
      <w:pPr>
        <w:ind w:firstLine="480"/>
        <w:jc w:val="both"/>
      </w:pPr>
      <w:r>
        <w:rPr>
          <w:color w:val="000000"/>
          <w:sz w:val="24"/>
        </w:rPr>
        <w:t>1</w:t>
      </w:r>
      <w:r>
        <w:rPr>
          <w:color w:val="000000"/>
          <w:sz w:val="24"/>
        </w:rPr>
        <w:t>期：支付比例</w:t>
      </w:r>
      <w:r>
        <w:rPr>
          <w:color w:val="000000"/>
          <w:sz w:val="24"/>
        </w:rPr>
        <w:t>30%,</w:t>
      </w:r>
      <w:r>
        <w:rPr>
          <w:color w:val="000000"/>
          <w:sz w:val="24"/>
        </w:rPr>
        <w:t>双方签订合同之日起</w:t>
      </w:r>
      <w:r>
        <w:rPr>
          <w:color w:val="000000"/>
          <w:sz w:val="24"/>
        </w:rPr>
        <w:t>15</w:t>
      </w:r>
      <w:r>
        <w:rPr>
          <w:color w:val="000000"/>
          <w:sz w:val="24"/>
        </w:rPr>
        <w:t>个工作日内，甲方向乙方支付合同总价</w:t>
      </w:r>
      <w:r>
        <w:rPr>
          <w:color w:val="000000"/>
          <w:sz w:val="24"/>
        </w:rPr>
        <w:t>30%</w:t>
      </w:r>
      <w:r>
        <w:rPr>
          <w:color w:val="000000"/>
          <w:sz w:val="24"/>
        </w:rPr>
        <w:t>。</w:t>
      </w:r>
    </w:p>
    <w:p>
      <w:pPr>
        <w:ind w:firstLine="480"/>
        <w:jc w:val="both"/>
      </w:pPr>
      <w:r>
        <w:rPr>
          <w:color w:val="000000"/>
          <w:sz w:val="24"/>
        </w:rPr>
        <w:t>2</w:t>
      </w:r>
      <w:r>
        <w:rPr>
          <w:color w:val="000000"/>
          <w:sz w:val="24"/>
        </w:rPr>
        <w:t>期：支付比例</w:t>
      </w:r>
      <w:r>
        <w:rPr>
          <w:color w:val="000000"/>
          <w:sz w:val="24"/>
        </w:rPr>
        <w:t>50%,</w:t>
      </w:r>
      <w:r>
        <w:rPr>
          <w:color w:val="000000"/>
          <w:sz w:val="24"/>
        </w:rPr>
        <w:t>乙方完成外业调查与采样工作环节质控任务的</w:t>
      </w:r>
      <w:r>
        <w:rPr>
          <w:color w:val="000000"/>
          <w:sz w:val="24"/>
        </w:rPr>
        <w:t>100%</w:t>
      </w:r>
      <w:r>
        <w:rPr>
          <w:color w:val="000000"/>
          <w:sz w:val="24"/>
        </w:rPr>
        <w:t>（以样品数量计算），完成内业检测数据质控任务的</w:t>
      </w:r>
      <w:r>
        <w:rPr>
          <w:color w:val="000000"/>
          <w:sz w:val="24"/>
        </w:rPr>
        <w:t>100%</w:t>
      </w:r>
      <w:r>
        <w:rPr>
          <w:color w:val="000000"/>
          <w:sz w:val="24"/>
        </w:rPr>
        <w:t>（以样品数量计算），并提交阶段性工作报告</w:t>
      </w:r>
      <w:r>
        <w:rPr>
          <w:color w:val="000000"/>
          <w:sz w:val="24"/>
        </w:rPr>
        <w:t>1</w:t>
      </w:r>
      <w:r>
        <w:rPr>
          <w:color w:val="000000"/>
          <w:sz w:val="24"/>
        </w:rPr>
        <w:t>份以及工作过程佐证材料。经甲方确认后，向乙方支付至合同总价的</w:t>
      </w:r>
      <w:r>
        <w:rPr>
          <w:color w:val="000000"/>
          <w:sz w:val="24"/>
        </w:rPr>
        <w:t>80%</w:t>
      </w:r>
      <w:r>
        <w:rPr>
          <w:color w:val="000000"/>
          <w:sz w:val="24"/>
        </w:rPr>
        <w:t>。</w:t>
      </w:r>
    </w:p>
    <w:p>
      <w:pPr>
        <w:ind w:firstLine="480"/>
        <w:jc w:val="both"/>
      </w:pPr>
      <w:r>
        <w:rPr>
          <w:color w:val="000000"/>
          <w:sz w:val="24"/>
        </w:rPr>
        <w:t>3</w:t>
      </w:r>
      <w:r>
        <w:rPr>
          <w:color w:val="000000"/>
          <w:sz w:val="24"/>
        </w:rPr>
        <w:t>期：支付比例</w:t>
      </w:r>
      <w:r>
        <w:rPr>
          <w:color w:val="000000"/>
          <w:sz w:val="24"/>
        </w:rPr>
        <w:t>20%,</w:t>
      </w:r>
      <w:r>
        <w:rPr>
          <w:color w:val="000000"/>
          <w:sz w:val="24"/>
        </w:rPr>
        <w:t>乙方提交质控报告</w:t>
      </w:r>
      <w:r>
        <w:rPr>
          <w:color w:val="000000"/>
          <w:sz w:val="24"/>
        </w:rPr>
        <w:t>1</w:t>
      </w:r>
      <w:r>
        <w:rPr>
          <w:color w:val="000000"/>
          <w:sz w:val="24"/>
        </w:rPr>
        <w:t>份，提供全过程工作佐证材料以及省级质控单位对外业调查与采样以及内业检测化验数据审核通过意见。通过甲方组织的专家验收后</w:t>
      </w:r>
      <w:r>
        <w:rPr>
          <w:color w:val="000000"/>
          <w:sz w:val="24"/>
        </w:rPr>
        <w:t>15</w:t>
      </w:r>
      <w:r>
        <w:rPr>
          <w:color w:val="000000"/>
          <w:sz w:val="24"/>
        </w:rPr>
        <w:t>个工作日内，向乙方支付至合同总价的</w:t>
      </w:r>
      <w:r>
        <w:rPr>
          <w:color w:val="000000"/>
          <w:sz w:val="24"/>
        </w:rPr>
        <w:t>100</w:t>
      </w:r>
      <w:r>
        <w:rPr>
          <w:color w:val="000000"/>
          <w:sz w:val="24"/>
        </w:rPr>
        <w:t>%</w:t>
      </w:r>
      <w:r>
        <w:rPr>
          <w:color w:val="000000"/>
          <w:sz w:val="24"/>
        </w:rPr>
        <w:t>。</w:t>
      </w:r>
    </w:p>
    <w:p>
      <w:pPr>
        <w:ind w:firstLine="480"/>
        <w:jc w:val="both"/>
      </w:pPr>
      <w:r>
        <w:rPr>
          <w:color w:val="000000"/>
          <w:sz w:val="24"/>
        </w:rPr>
        <w:t>因甲方使用的是财政资金，所以甲方在前款规定的时间内支付乙方实际是向财政部门申请办理拨款支付的时间而不是实际支付的时间。乙方在规定时间内向甲方申请支付，甲方按期向财政部门申请拨款支付，乙方不得以此作为甲方的违约考量依据。</w:t>
      </w:r>
    </w:p>
    <w:p>
      <w:pPr>
        <w:jc w:val="both"/>
      </w:pPr>
      <w:r>
        <w:rPr>
          <w:color w:val="000000"/>
          <w:sz w:val="24"/>
        </w:rPr>
        <w:t>支付佐证材料：</w:t>
      </w:r>
    </w:p>
    <w:tbl>
      <w:tblPr>
        <w:tblW w:w="0" w:type="auto"/>
        <w:tblBorders>
          <w:top w:val="none" w:color="000000" w:sz="4"/>
          <w:left w:val="none" w:color="000000" w:sz="4"/>
          <w:bottom w:val="none" w:color="000000" w:sz="4"/>
          <w:right w:val="none" w:color="000000" w:sz="4"/>
          <w:insideH w:val="none"/>
          <w:insideV w:val="none"/>
        </w:tblBorders>
      </w:tblPr>
      <w:tblGrid>
        <w:gridCol w:w="1577"/>
        <w:gridCol w:w="6729"/>
      </w:tblGrid>
      <w:tr>
        <w:tc>
          <w:tcPr>
            <w:tcW w:type="dxa" w:w="1577"/>
            <w:tcBorders>
              <w:top w:val="single" w:color="000000" w:sz="4"/>
              <w:left w:val="single" w:color="000000" w:sz="4"/>
              <w:bottom w:val="single" w:color="000000" w:sz="4"/>
              <w:right w:val="single" w:color="000000" w:sz="4"/>
            </w:tcBorders>
            <w:vAlign w:val="top"/>
          </w:tcPr>
          <w:p>
            <w:pPr>
              <w:jc w:val="left"/>
            </w:pPr>
            <w:r>
              <w:rPr>
                <w:b/>
                <w:sz w:val="20"/>
              </w:rPr>
              <w:t>支付进度</w:t>
            </w:r>
          </w:p>
          <w:p>
            <w:pPr>
              <w:jc w:val="left"/>
            </w:pPr>
            <w:r>
              <w:rPr>
                <w:b/>
                <w:sz w:val="20"/>
              </w:rPr>
              <w:t>任务名称及佐证材料</w:t>
            </w:r>
          </w:p>
          <w:p>
            <w:pPr>
              <w:jc w:val="left"/>
            </w:pPr>
          </w:p>
        </w:tc>
        <w:tc>
          <w:tcPr>
            <w:tcW w:type="dxa" w:w="6729"/>
            <w:tcBorders>
              <w:top w:val="single" w:color="000000" w:sz="4"/>
              <w:left w:val="none" w:color="000000" w:sz="4"/>
              <w:bottom w:val="single" w:color="000000" w:sz="4"/>
              <w:right w:val="single" w:color="000000" w:sz="4"/>
            </w:tcBorders>
            <w:vAlign w:val="top"/>
          </w:tcPr>
          <w:p>
            <w:pPr>
              <w:jc w:val="center"/>
            </w:pPr>
          </w:p>
        </w:tc>
      </w:tr>
      <w:tr>
        <w:tc>
          <w:tcPr>
            <w:tcW w:type="dxa" w:w="1577"/>
            <w:tcBorders>
              <w:top w:val="none" w:color="000000" w:sz="4"/>
              <w:left w:val="single" w:color="000000" w:sz="4"/>
              <w:bottom w:val="single" w:color="000000" w:sz="4"/>
              <w:right w:val="single" w:color="000000" w:sz="4"/>
            </w:tcBorders>
            <w:vAlign w:val="top"/>
          </w:tcPr>
          <w:p>
            <w:pPr>
              <w:jc w:val="center"/>
            </w:pPr>
            <w:r>
              <w:rPr>
                <w:sz w:val="24"/>
              </w:rPr>
              <w:t>第</w:t>
            </w:r>
            <w:r>
              <w:rPr>
                <w:sz w:val="24"/>
              </w:rPr>
              <w:t>1</w:t>
            </w:r>
            <w:r>
              <w:rPr>
                <w:sz w:val="24"/>
              </w:rPr>
              <w:t>期</w:t>
            </w:r>
          </w:p>
        </w:tc>
        <w:tc>
          <w:tcPr>
            <w:tcW w:type="dxa" w:w="6729"/>
            <w:tcBorders>
              <w:top w:val="none" w:color="000000" w:sz="4"/>
              <w:left w:val="none" w:color="000000" w:sz="4"/>
              <w:bottom w:val="single" w:color="000000" w:sz="4"/>
              <w:right w:val="single" w:color="000000" w:sz="4"/>
            </w:tcBorders>
            <w:vAlign w:val="top"/>
          </w:tcPr>
          <w:p>
            <w:pPr>
              <w:jc w:val="center"/>
            </w:pPr>
          </w:p>
        </w:tc>
      </w:tr>
      <w:tr>
        <w:tc>
          <w:tcPr>
            <w:tcW w:type="dxa" w:w="1577"/>
            <w:tcBorders>
              <w:top w:val="none" w:color="000000" w:sz="4"/>
              <w:left w:val="single" w:color="000000" w:sz="4"/>
              <w:bottom w:val="single" w:color="000000" w:sz="4"/>
              <w:right w:val="single" w:color="000000" w:sz="4"/>
            </w:tcBorders>
            <w:vAlign w:val="top"/>
          </w:tcPr>
          <w:p>
            <w:pPr>
              <w:jc w:val="center"/>
            </w:pPr>
            <w:r>
              <w:rPr>
                <w:sz w:val="24"/>
              </w:rPr>
              <w:t>第</w:t>
            </w:r>
            <w:r>
              <w:rPr>
                <w:sz w:val="24"/>
              </w:rPr>
              <w:t>2</w:t>
            </w:r>
            <w:r>
              <w:rPr>
                <w:sz w:val="24"/>
              </w:rPr>
              <w:t>期</w:t>
            </w:r>
          </w:p>
        </w:tc>
        <w:tc>
          <w:tcPr>
            <w:tcW w:type="dxa" w:w="6729"/>
            <w:tcBorders>
              <w:top w:val="none" w:color="000000" w:sz="4"/>
              <w:left w:val="none" w:color="000000" w:sz="4"/>
              <w:bottom w:val="single" w:color="000000" w:sz="4"/>
              <w:right w:val="single" w:color="000000" w:sz="4"/>
            </w:tcBorders>
            <w:vAlign w:val="top"/>
          </w:tcPr>
          <w:p>
            <w:pPr>
              <w:jc w:val="left"/>
            </w:pPr>
          </w:p>
        </w:tc>
      </w:tr>
      <w:tr>
        <w:tc>
          <w:tcPr>
            <w:tcW w:type="dxa" w:w="1577"/>
            <w:tcBorders>
              <w:top w:val="none" w:color="000000" w:sz="4"/>
              <w:left w:val="single" w:color="000000" w:sz="4"/>
              <w:bottom w:val="single" w:color="000000" w:sz="4"/>
              <w:right w:val="single" w:color="000000" w:sz="4"/>
            </w:tcBorders>
            <w:vAlign w:val="top"/>
          </w:tcPr>
          <w:p>
            <w:pPr>
              <w:jc w:val="center"/>
            </w:pPr>
            <w:r>
              <w:rPr>
                <w:sz w:val="24"/>
              </w:rPr>
              <w:t>第</w:t>
            </w:r>
            <w:r>
              <w:rPr>
                <w:sz w:val="24"/>
              </w:rPr>
              <w:t>3</w:t>
            </w:r>
            <w:r>
              <w:rPr>
                <w:sz w:val="24"/>
              </w:rPr>
              <w:t>期</w:t>
            </w:r>
          </w:p>
        </w:tc>
        <w:tc>
          <w:tcPr>
            <w:tcW w:type="dxa" w:w="6729"/>
            <w:tcBorders>
              <w:top w:val="none" w:color="000000" w:sz="4"/>
              <w:left w:val="none" w:color="000000" w:sz="4"/>
              <w:bottom w:val="single" w:color="000000" w:sz="4"/>
              <w:right w:val="single" w:color="000000" w:sz="4"/>
            </w:tcBorders>
            <w:vAlign w:val="top"/>
          </w:tcPr>
          <w:p>
            <w:pPr>
              <w:jc w:val="left"/>
            </w:pPr>
          </w:p>
        </w:tc>
      </w:tr>
    </w:tbl>
    <w:p>
      <w:pPr>
        <w:jc w:val="both"/>
      </w:pPr>
      <w:r>
        <w:rPr>
          <w:color w:val="000000"/>
          <w:sz w:val="24"/>
        </w:rPr>
        <w:t>四、知识产权归属</w:t>
      </w:r>
    </w:p>
    <w:p>
      <w:pPr>
        <w:ind w:firstLine="480"/>
        <w:jc w:val="both"/>
      </w:pPr>
      <w:r>
        <w:rPr>
          <w:color w:val="000000"/>
          <w:sz w:val="24"/>
        </w:rPr>
        <w:t>1</w:t>
      </w:r>
      <w:r>
        <w:rPr>
          <w:color w:val="000000"/>
          <w:sz w:val="24"/>
        </w:rPr>
        <w:t>、甲方拥有本合同项目的所有中间成果和最终成果，以及与之相关的所有权利。项目相关数据、记录、成果的知识产权和使用权归甲方所有，未经甲方书面同意，乙方不得发表、授权或以其他方式使用前述数据、记录和成果等。</w:t>
      </w:r>
    </w:p>
    <w:p>
      <w:pPr>
        <w:ind w:firstLine="480"/>
        <w:jc w:val="both"/>
      </w:pPr>
      <w:r>
        <w:rPr>
          <w:color w:val="000000"/>
          <w:sz w:val="24"/>
        </w:rPr>
        <w:t>2</w:t>
      </w:r>
      <w:r>
        <w:rPr>
          <w:color w:val="000000"/>
          <w:sz w:val="24"/>
        </w:rPr>
        <w:t>、乙方应保证为完成本项目所采用的技术、服务或其任何一部分不会产生因第三方提出侵犯其专利权、商标权或其他知识产权而引起的法律和经济纠纷；如因第三方提出其专利权、商标权或其他知识产权的侵权之诉，乙方须独自承担 一切法律责任由承担。若因此导致甲方损失的，乙方须承担损害赔偿责任。</w:t>
      </w:r>
    </w:p>
    <w:p>
      <w:pPr>
        <w:jc w:val="both"/>
      </w:pPr>
      <w:r>
        <w:rPr>
          <w:color w:val="000000"/>
          <w:sz w:val="24"/>
        </w:rPr>
        <w:t>五、保密规定</w:t>
      </w:r>
    </w:p>
    <w:p>
      <w:pPr>
        <w:ind w:firstLine="480"/>
        <w:jc w:val="both"/>
      </w:pPr>
      <w:r>
        <w:rPr>
          <w:color w:val="000000"/>
          <w:sz w:val="24"/>
        </w:rPr>
        <w:t>乙方应当遵守保密原则，除法律、法规另有规定外，未经甲方许可，不得泄露工作过程中获知的商业秘密和业务资料。根据国家、省关于土壤普查的保密要求签订保密协议、建立或改造本次土壤普查工作专用的保密场所。保密义务的期限为直至该等商业秘密被公开或甲方书面确认服务供应商或联合体各方不再承担保密义务止。</w:t>
      </w:r>
    </w:p>
    <w:p>
      <w:pPr>
        <w:jc w:val="both"/>
      </w:pPr>
      <w:r>
        <w:rPr>
          <w:color w:val="000000"/>
          <w:sz w:val="24"/>
        </w:rPr>
        <w:t>六、违约责任与损失赔偿</w:t>
      </w:r>
    </w:p>
    <w:p>
      <w:pPr>
        <w:ind w:firstLine="480"/>
        <w:jc w:val="both"/>
      </w:pPr>
      <w:r>
        <w:rPr>
          <w:color w:val="000000"/>
          <w:sz w:val="24"/>
        </w:rPr>
        <w:t>1</w:t>
      </w:r>
      <w:r>
        <w:rPr>
          <w:color w:val="000000"/>
          <w:sz w:val="24"/>
        </w:rPr>
        <w:t>、甲方责任</w:t>
      </w:r>
    </w:p>
    <w:p>
      <w:pPr>
        <w:ind w:firstLine="480"/>
        <w:jc w:val="both"/>
      </w:pPr>
      <w:r>
        <w:rPr>
          <w:color w:val="000000"/>
          <w:sz w:val="24"/>
        </w:rPr>
        <w:t>（</w:t>
      </w:r>
      <w:r>
        <w:rPr>
          <w:color w:val="000000"/>
          <w:sz w:val="24"/>
        </w:rPr>
        <w:t>1</w:t>
      </w:r>
      <w:r>
        <w:rPr>
          <w:color w:val="000000"/>
          <w:sz w:val="24"/>
        </w:rPr>
        <w:t>）按本合同规定，向乙方提供相关基础资料及有关文件。</w:t>
      </w:r>
    </w:p>
    <w:p>
      <w:pPr>
        <w:ind w:firstLine="480"/>
        <w:jc w:val="both"/>
      </w:pPr>
      <w:r>
        <w:rPr>
          <w:color w:val="000000"/>
          <w:sz w:val="24"/>
        </w:rPr>
        <w:t>（</w:t>
      </w:r>
      <w:r>
        <w:rPr>
          <w:color w:val="000000"/>
          <w:sz w:val="24"/>
        </w:rPr>
        <w:t>2</w:t>
      </w:r>
      <w:r>
        <w:rPr>
          <w:color w:val="000000"/>
          <w:sz w:val="24"/>
        </w:rPr>
        <w:t>）协助乙方进行现状调查和相关资料收集，组织相关单位的座谈会。</w:t>
      </w:r>
    </w:p>
    <w:p>
      <w:pPr>
        <w:ind w:firstLine="480"/>
        <w:jc w:val="both"/>
      </w:pPr>
      <w:r>
        <w:rPr>
          <w:color w:val="000000"/>
          <w:sz w:val="24"/>
        </w:rPr>
        <w:t>（</w:t>
      </w:r>
      <w:r>
        <w:rPr>
          <w:color w:val="000000"/>
          <w:sz w:val="24"/>
        </w:rPr>
        <w:t>3</w:t>
      </w:r>
      <w:r>
        <w:rPr>
          <w:color w:val="000000"/>
          <w:sz w:val="24"/>
        </w:rPr>
        <w:t>）明确工作内容和时间要求，在服务期末，协助乙方确认各服务项的完成情况，并提供验收证明。</w:t>
      </w:r>
    </w:p>
    <w:p>
      <w:pPr>
        <w:ind w:firstLine="480"/>
        <w:jc w:val="both"/>
      </w:pPr>
      <w:r>
        <w:rPr>
          <w:color w:val="000000"/>
          <w:sz w:val="24"/>
        </w:rPr>
        <w:t>（</w:t>
      </w:r>
      <w:r>
        <w:rPr>
          <w:color w:val="000000"/>
          <w:sz w:val="24"/>
        </w:rPr>
        <w:t>4</w:t>
      </w:r>
      <w:r>
        <w:rPr>
          <w:color w:val="000000"/>
          <w:sz w:val="24"/>
        </w:rPr>
        <w:t>）甲方应按合同有关要求履行付款义务，甲方未在合同规定的时间内提交财政付款申请的，逾期每日按本合同总价的千分之一向乙方偿付违约金。</w:t>
      </w:r>
    </w:p>
    <w:p>
      <w:pPr>
        <w:ind w:firstLine="480"/>
        <w:jc w:val="both"/>
      </w:pPr>
      <w:r>
        <w:rPr>
          <w:color w:val="000000"/>
          <w:sz w:val="24"/>
        </w:rPr>
        <w:t>2</w:t>
      </w:r>
      <w:r>
        <w:rPr>
          <w:color w:val="000000"/>
          <w:sz w:val="24"/>
        </w:rPr>
        <w:t>、乙方责任</w:t>
      </w:r>
    </w:p>
    <w:p>
      <w:pPr>
        <w:ind w:firstLine="480"/>
        <w:jc w:val="both"/>
      </w:pPr>
      <w:r>
        <w:rPr>
          <w:color w:val="000000"/>
          <w:sz w:val="24"/>
        </w:rPr>
        <w:t>（</w:t>
      </w:r>
      <w:r>
        <w:rPr>
          <w:color w:val="000000"/>
          <w:sz w:val="24"/>
        </w:rPr>
        <w:t>1</w:t>
      </w:r>
      <w:r>
        <w:rPr>
          <w:color w:val="000000"/>
          <w:sz w:val="24"/>
        </w:rPr>
        <w:t>）按照本合同《委托内容》的要求，完成各项工作任务。按照合同规定的有关质量方面的承诺，组织和具体实施，保证成果质量。</w:t>
      </w:r>
    </w:p>
    <w:p>
      <w:pPr>
        <w:ind w:firstLine="480"/>
        <w:jc w:val="both"/>
      </w:pPr>
      <w:r>
        <w:rPr>
          <w:color w:val="000000"/>
          <w:sz w:val="24"/>
        </w:rPr>
        <w:t>（</w:t>
      </w:r>
      <w:r>
        <w:rPr>
          <w:color w:val="000000"/>
          <w:sz w:val="24"/>
        </w:rPr>
        <w:t>2</w:t>
      </w:r>
      <w:r>
        <w:rPr>
          <w:color w:val="000000"/>
          <w:sz w:val="24"/>
        </w:rPr>
        <w:t>）按甲方的委托和有关文件、基础资料，依据国家、省、市现行有关法规和技术规范、标准进行编制。乙方有义务对甲方提供资料的完整性、正确性进行核实。如因甲方资料有误影响成果编制质量，其责任由乙方承担，并且乙方须无条件予以调整或纠正。</w:t>
      </w:r>
    </w:p>
    <w:p>
      <w:pPr>
        <w:ind w:firstLine="480"/>
        <w:jc w:val="both"/>
      </w:pPr>
      <w:r>
        <w:rPr>
          <w:color w:val="000000"/>
          <w:sz w:val="24"/>
        </w:rPr>
        <w:t>（</w:t>
      </w:r>
      <w:r>
        <w:rPr>
          <w:color w:val="000000"/>
          <w:sz w:val="24"/>
        </w:rPr>
        <w:t>3</w:t>
      </w:r>
      <w:r>
        <w:rPr>
          <w:color w:val="000000"/>
          <w:sz w:val="24"/>
        </w:rPr>
        <w:t>）按本合同第二条规定的内容、进度、份数，向甲方提交符合要求的文件和资料，并对委托范围内的成果文件的完整性、准确性负责。</w:t>
      </w:r>
    </w:p>
    <w:p>
      <w:pPr>
        <w:ind w:firstLine="480"/>
        <w:jc w:val="both"/>
      </w:pPr>
      <w:r>
        <w:rPr>
          <w:color w:val="000000"/>
          <w:sz w:val="24"/>
        </w:rPr>
        <w:t>（</w:t>
      </w:r>
      <w:r>
        <w:rPr>
          <w:color w:val="000000"/>
          <w:sz w:val="24"/>
        </w:rPr>
        <w:t>4</w:t>
      </w:r>
      <w:r>
        <w:rPr>
          <w:color w:val="000000"/>
          <w:sz w:val="24"/>
        </w:rPr>
        <w:t>）及时向甲方反馈工作进度等信息，负责方案汇报工作。</w:t>
      </w:r>
    </w:p>
    <w:p>
      <w:pPr>
        <w:ind w:firstLine="480"/>
        <w:jc w:val="both"/>
      </w:pPr>
      <w:r>
        <w:rPr>
          <w:color w:val="000000"/>
          <w:sz w:val="24"/>
        </w:rPr>
        <w:t>（</w:t>
      </w:r>
      <w:r>
        <w:rPr>
          <w:color w:val="000000"/>
          <w:sz w:val="24"/>
        </w:rPr>
        <w:t>5</w:t>
      </w:r>
      <w:r>
        <w:rPr>
          <w:color w:val="000000"/>
          <w:sz w:val="24"/>
        </w:rPr>
        <w:t>）根据评审会议纪要、成果评审意见修改和完善编制成果。</w:t>
      </w:r>
    </w:p>
    <w:p>
      <w:pPr>
        <w:ind w:firstLine="480"/>
        <w:jc w:val="both"/>
      </w:pPr>
      <w:r>
        <w:rPr>
          <w:color w:val="000000"/>
          <w:sz w:val="24"/>
        </w:rPr>
        <w:t>（</w:t>
      </w:r>
      <w:r>
        <w:rPr>
          <w:color w:val="000000"/>
          <w:sz w:val="24"/>
        </w:rPr>
        <w:t>6</w:t>
      </w:r>
      <w:r>
        <w:rPr>
          <w:color w:val="000000"/>
          <w:sz w:val="24"/>
        </w:rPr>
        <w:t>）负责对甲方所提供的资料及电子数据承担保密义务，未经甲方许可不得对外泄漏。</w:t>
      </w:r>
    </w:p>
    <w:p>
      <w:pPr>
        <w:ind w:firstLine="480"/>
        <w:jc w:val="both"/>
      </w:pPr>
      <w:r>
        <w:rPr>
          <w:color w:val="000000"/>
          <w:sz w:val="24"/>
        </w:rPr>
        <w:t>（</w:t>
      </w:r>
      <w:r>
        <w:rPr>
          <w:color w:val="000000"/>
          <w:sz w:val="24"/>
        </w:rPr>
        <w:t>7</w:t>
      </w:r>
      <w:r>
        <w:rPr>
          <w:color w:val="000000"/>
          <w:sz w:val="24"/>
        </w:rPr>
        <w:t>）不得向任何第三方转让本合同项下的项目。若使用了他人的专利、专有技术，涉及的费用自行负责。</w:t>
      </w:r>
    </w:p>
    <w:p>
      <w:pPr>
        <w:ind w:firstLine="480"/>
        <w:jc w:val="both"/>
      </w:pPr>
      <w:r>
        <w:rPr>
          <w:color w:val="000000"/>
          <w:sz w:val="24"/>
        </w:rPr>
        <w:t>（</w:t>
      </w:r>
      <w:r>
        <w:rPr>
          <w:color w:val="000000"/>
          <w:sz w:val="24"/>
        </w:rPr>
        <w:t>8</w:t>
      </w:r>
      <w:r>
        <w:rPr>
          <w:color w:val="000000"/>
          <w:sz w:val="24"/>
        </w:rPr>
        <w:t>）开展现状调查和相关资料收集，对真实性负责。</w:t>
      </w:r>
    </w:p>
    <w:p>
      <w:pPr>
        <w:ind w:firstLine="480"/>
        <w:jc w:val="both"/>
      </w:pPr>
      <w:r>
        <w:rPr>
          <w:color w:val="000000"/>
          <w:sz w:val="24"/>
        </w:rPr>
        <w:t>（</w:t>
      </w:r>
      <w:r>
        <w:rPr>
          <w:color w:val="000000"/>
          <w:sz w:val="24"/>
        </w:rPr>
        <w:t>9</w:t>
      </w:r>
      <w:r>
        <w:rPr>
          <w:color w:val="000000"/>
          <w:sz w:val="24"/>
        </w:rPr>
        <w:t>）乙方应当遵守国家、所在地有关安全生产的要求，保证项目人员和设备安全，并为开展项目工作提供完善的劳动防护设施和保护用品，为野外作业人员购买意外伤害险。</w:t>
      </w:r>
    </w:p>
    <w:p>
      <w:pPr>
        <w:ind w:firstLine="480"/>
        <w:jc w:val="both"/>
      </w:pPr>
      <w:r>
        <w:rPr>
          <w:color w:val="000000"/>
          <w:sz w:val="24"/>
        </w:rPr>
        <w:t>3</w:t>
      </w:r>
      <w:r>
        <w:rPr>
          <w:color w:val="000000"/>
          <w:sz w:val="24"/>
        </w:rPr>
        <w:t>、损失赔偿</w:t>
      </w:r>
    </w:p>
    <w:p>
      <w:pPr>
        <w:ind w:firstLine="480"/>
        <w:jc w:val="both"/>
      </w:pPr>
      <w:r>
        <w:rPr>
          <w:color w:val="000000"/>
          <w:sz w:val="24"/>
        </w:rPr>
        <w:t>（</w:t>
      </w:r>
      <w:r>
        <w:rPr>
          <w:color w:val="000000"/>
          <w:sz w:val="24"/>
        </w:rPr>
        <w:t>1</w:t>
      </w:r>
      <w:r>
        <w:rPr>
          <w:color w:val="000000"/>
          <w:sz w:val="24"/>
        </w:rPr>
        <w:t>）在合同签订后，甲方要求终止或解除合同，乙方未开始编制工作的，需退还甲方已付的第一次付款；已开始编制工作的，甲方应根据乙方已进行的实际工作量结算。</w:t>
      </w:r>
    </w:p>
    <w:p>
      <w:pPr>
        <w:ind w:firstLine="480"/>
        <w:jc w:val="both"/>
      </w:pPr>
      <w:r>
        <w:rPr>
          <w:color w:val="000000"/>
          <w:sz w:val="24"/>
        </w:rPr>
        <w:t>（</w:t>
      </w:r>
      <w:r>
        <w:rPr>
          <w:color w:val="000000"/>
          <w:sz w:val="24"/>
        </w:rPr>
        <w:t>2</w:t>
      </w:r>
      <w:r>
        <w:rPr>
          <w:color w:val="000000"/>
          <w:sz w:val="24"/>
        </w:rPr>
        <w:t>）甲方应按本合同第五条规定的金额和时间，向乙方支付服务费。逾期超过十五个工作日以上时，乙方有权暂停履行下阶段工作，并书面通知甲方。恢复工作后，乙方提交成果文件、资料的时间按本合同第四条规定的时间顺延。</w:t>
      </w:r>
    </w:p>
    <w:p>
      <w:pPr>
        <w:ind w:firstLine="480"/>
        <w:jc w:val="both"/>
      </w:pPr>
      <w:r>
        <w:rPr>
          <w:color w:val="000000"/>
          <w:sz w:val="24"/>
        </w:rPr>
        <w:t>（</w:t>
      </w:r>
      <w:r>
        <w:rPr>
          <w:color w:val="000000"/>
          <w:sz w:val="24"/>
        </w:rPr>
        <w:t>3</w:t>
      </w:r>
      <w:r>
        <w:rPr>
          <w:color w:val="000000"/>
          <w:sz w:val="24"/>
        </w:rPr>
        <w:t>）按本合同第三条规定，甲方向乙方提供基础资料及有关文件超过规定期限的，乙方按合同第四条规定交付编制文件时间顺延。</w:t>
      </w:r>
    </w:p>
    <w:p>
      <w:pPr>
        <w:ind w:firstLine="480"/>
        <w:jc w:val="both"/>
      </w:pPr>
      <w:r>
        <w:rPr>
          <w:color w:val="000000"/>
          <w:sz w:val="24"/>
        </w:rPr>
        <w:t>（</w:t>
      </w:r>
      <w:r>
        <w:rPr>
          <w:color w:val="000000"/>
          <w:sz w:val="24"/>
        </w:rPr>
        <w:t>4</w:t>
      </w:r>
      <w:r>
        <w:rPr>
          <w:color w:val="000000"/>
          <w:sz w:val="24"/>
        </w:rPr>
        <w:t>）会议纪要和评审结果未按时送达乙方时，乙方可暂停下一阶段工作，由此造成的后果由甲方负责。</w:t>
      </w:r>
    </w:p>
    <w:p>
      <w:pPr>
        <w:ind w:firstLine="480"/>
        <w:jc w:val="both"/>
      </w:pPr>
      <w:r>
        <w:rPr>
          <w:color w:val="000000"/>
          <w:sz w:val="24"/>
        </w:rPr>
        <w:t>（</w:t>
      </w:r>
      <w:r>
        <w:rPr>
          <w:color w:val="000000"/>
          <w:sz w:val="24"/>
        </w:rPr>
        <w:t>5</w:t>
      </w:r>
      <w:r>
        <w:rPr>
          <w:color w:val="000000"/>
          <w:sz w:val="24"/>
        </w:rPr>
        <w:t>）由于乙方自身原因，逾期完成完善成果工作的，每日应向甲方偿付合同金额的千分之一作为违约金，并承担甲方因此所受的损失费用；出现因乙方的原因逾期</w:t>
      </w:r>
      <w:r>
        <w:rPr>
          <w:color w:val="000000"/>
          <w:sz w:val="24"/>
        </w:rPr>
        <w:t>30</w:t>
      </w:r>
      <w:r>
        <w:rPr>
          <w:color w:val="000000"/>
          <w:sz w:val="24"/>
        </w:rPr>
        <w:t>天以上仍未能提交最终成果的，甲方有权终止合同，不予支付剩余合同款项。乙方还须退回甲方已付合同款项，并赔偿甲方的经济损失。</w:t>
      </w:r>
    </w:p>
    <w:p>
      <w:pPr>
        <w:ind w:firstLine="480"/>
        <w:jc w:val="both"/>
      </w:pPr>
      <w:r>
        <w:rPr>
          <w:color w:val="000000"/>
          <w:sz w:val="24"/>
        </w:rPr>
        <w:t>（</w:t>
      </w:r>
      <w:r>
        <w:rPr>
          <w:color w:val="000000"/>
          <w:sz w:val="24"/>
        </w:rPr>
        <w:t>6</w:t>
      </w:r>
      <w:r>
        <w:rPr>
          <w:color w:val="000000"/>
          <w:sz w:val="24"/>
        </w:rPr>
        <w:t>）合同生效后，乙方有下列行为之一的，乙方应退回甲方已付的款项，并按甲方已付第一次付款的金额向甲方支付违约金，对甲方的造成经济损失的应赔偿。</w:t>
      </w:r>
    </w:p>
    <w:p>
      <w:pPr>
        <w:ind w:firstLine="480"/>
        <w:jc w:val="both"/>
      </w:pPr>
      <w:r>
        <w:rPr>
          <w:color w:val="000000"/>
          <w:sz w:val="24"/>
        </w:rPr>
        <w:t xml:space="preserve">①  </w:t>
      </w:r>
      <w:r>
        <w:rPr>
          <w:color w:val="000000"/>
          <w:sz w:val="24"/>
        </w:rPr>
        <w:t>因乙方的违约行为致使本合同无法继续履行，甲方解除合同的；</w:t>
      </w:r>
    </w:p>
    <w:p>
      <w:pPr>
        <w:ind w:firstLine="480"/>
        <w:jc w:val="both"/>
      </w:pPr>
      <w:r>
        <w:rPr>
          <w:color w:val="000000"/>
          <w:sz w:val="24"/>
        </w:rPr>
        <w:t xml:space="preserve">②  </w:t>
      </w:r>
      <w:r>
        <w:rPr>
          <w:color w:val="000000"/>
          <w:sz w:val="24"/>
        </w:rPr>
        <w:t>乙方要求终止或解除合同的；</w:t>
      </w:r>
    </w:p>
    <w:p>
      <w:pPr>
        <w:ind w:firstLine="480"/>
        <w:jc w:val="both"/>
      </w:pPr>
      <w:r>
        <w:rPr>
          <w:color w:val="000000"/>
          <w:sz w:val="24"/>
        </w:rPr>
        <w:t xml:space="preserve">③  </w:t>
      </w:r>
      <w:r>
        <w:rPr>
          <w:color w:val="000000"/>
          <w:sz w:val="24"/>
        </w:rPr>
        <w:t>乙方向任何第三方转让合同项目的。</w:t>
      </w:r>
    </w:p>
    <w:p>
      <w:pPr>
        <w:ind w:firstLine="480"/>
        <w:jc w:val="both"/>
      </w:pPr>
      <w:r>
        <w:rPr>
          <w:color w:val="000000"/>
          <w:sz w:val="24"/>
        </w:rPr>
        <w:t>（</w:t>
      </w:r>
      <w:r>
        <w:rPr>
          <w:color w:val="000000"/>
          <w:sz w:val="24"/>
        </w:rPr>
        <w:t>7</w:t>
      </w:r>
      <w:r>
        <w:rPr>
          <w:color w:val="000000"/>
          <w:sz w:val="24"/>
        </w:rPr>
        <w:t>）由于甲方变更委托项目、规模、条件或因提交的资料错误，或所提交资料作较大修改，以致造成乙方编制成果需返工时，甲方应按乙方所增加的工作量向乙方增加相应的服务费用，并另行协商签订补充协议（或另订合同）、重新明确有关条款。</w:t>
      </w:r>
    </w:p>
    <w:p>
      <w:pPr>
        <w:ind w:firstLine="480"/>
        <w:jc w:val="both"/>
      </w:pPr>
      <w:r>
        <w:rPr>
          <w:color w:val="000000"/>
          <w:sz w:val="24"/>
        </w:rPr>
        <w:t>（</w:t>
      </w:r>
      <w:r>
        <w:rPr>
          <w:color w:val="000000"/>
          <w:sz w:val="24"/>
        </w:rPr>
        <w:t>8</w:t>
      </w:r>
      <w:r>
        <w:rPr>
          <w:color w:val="000000"/>
          <w:sz w:val="24"/>
        </w:rPr>
        <w:t>）因乙方现状调查或收集资料出现失真，造成研究不当，乙方应当赔偿由此造成的损失。</w:t>
      </w:r>
    </w:p>
    <w:p>
      <w:pPr>
        <w:jc w:val="both"/>
      </w:pPr>
      <w:r>
        <w:rPr>
          <w:color w:val="000000"/>
          <w:sz w:val="24"/>
        </w:rPr>
        <w:t>七、争议的解决</w:t>
      </w:r>
    </w:p>
    <w:p>
      <w:pPr>
        <w:ind w:firstLine="480"/>
        <w:jc w:val="both"/>
      </w:pPr>
      <w:r>
        <w:rPr>
          <w:color w:val="000000"/>
          <w:sz w:val="24"/>
        </w:rPr>
        <w:t>合同执行过程中发生的任何争议，如双方不能通过友好协商解决，按相关法律法规处理。</w:t>
      </w:r>
    </w:p>
    <w:p>
      <w:pPr>
        <w:jc w:val="both"/>
      </w:pPr>
      <w:r>
        <w:rPr>
          <w:color w:val="000000"/>
          <w:sz w:val="24"/>
        </w:rPr>
        <w:t>八、不可抗力</w:t>
      </w:r>
    </w:p>
    <w:p>
      <w:pPr>
        <w:ind w:firstLine="480"/>
        <w:jc w:val="both"/>
      </w:pPr>
      <w:r>
        <w:rPr>
          <w:color w:val="000000"/>
          <w:sz w:val="24"/>
        </w:rPr>
        <w:t>自然灾害、国家法律、政府政策以及项目主管部门政令等因素均属于不可抗力因素。任何一方由于不可抗力因素导致不能履行合同时，应在不可抗力因素结束后</w:t>
      </w:r>
      <w:r>
        <w:rPr>
          <w:color w:val="000000"/>
          <w:sz w:val="24"/>
        </w:rPr>
        <w:t>1</w:t>
      </w:r>
      <w:r>
        <w:rPr>
          <w:color w:val="000000"/>
          <w:sz w:val="24"/>
        </w:rPr>
        <w:t>日内向对方通报，以减轻可能给对方造成的损失，在取得有关机构的不可抗力证明或双方谅解确认后，允许延期履行或修订合同，并根据情况部分或全部免于承担违约责任。</w:t>
      </w:r>
    </w:p>
    <w:p>
      <w:pPr>
        <w:jc w:val="both"/>
      </w:pPr>
      <w:r>
        <w:rPr>
          <w:color w:val="000000"/>
          <w:sz w:val="24"/>
        </w:rPr>
        <w:t>九、税费</w:t>
      </w:r>
    </w:p>
    <w:p>
      <w:pPr>
        <w:ind w:firstLine="480"/>
        <w:jc w:val="both"/>
      </w:pPr>
      <w:r>
        <w:rPr>
          <w:color w:val="000000"/>
          <w:sz w:val="24"/>
        </w:rPr>
        <w:t>在中国境内、外发生的与本合同执行有关的一切税费均由乙方负担。</w:t>
      </w:r>
    </w:p>
    <w:p>
      <w:pPr>
        <w:jc w:val="both"/>
      </w:pPr>
      <w:r>
        <w:rPr>
          <w:color w:val="000000"/>
          <w:sz w:val="24"/>
        </w:rPr>
        <w:t>十、其它</w:t>
      </w:r>
    </w:p>
    <w:p>
      <w:pPr>
        <w:ind w:firstLine="480"/>
        <w:jc w:val="both"/>
      </w:pPr>
      <w:r>
        <w:rPr>
          <w:color w:val="000000"/>
          <w:sz w:val="24"/>
        </w:rPr>
        <w:t>1.</w:t>
      </w:r>
      <w:r>
        <w:rPr>
          <w:color w:val="000000"/>
          <w:sz w:val="24"/>
        </w:rPr>
        <w:t>本合同所有附件、</w:t>
      </w:r>
      <w:r>
        <w:rPr>
          <w:color w:val="000000"/>
          <w:sz w:val="24"/>
        </w:rPr>
        <w:t>磋商</w:t>
      </w:r>
      <w:r>
        <w:rPr>
          <w:color w:val="000000"/>
          <w:sz w:val="24"/>
        </w:rPr>
        <w:t>文件、</w:t>
      </w:r>
      <w:r>
        <w:rPr>
          <w:color w:val="000000"/>
          <w:sz w:val="24"/>
        </w:rPr>
        <w:t>响应</w:t>
      </w:r>
      <w:r>
        <w:rPr>
          <w:color w:val="000000"/>
          <w:sz w:val="24"/>
        </w:rPr>
        <w:t>文件、中标</w:t>
      </w:r>
      <w:r>
        <w:rPr>
          <w:color w:val="000000"/>
          <w:sz w:val="24"/>
        </w:rPr>
        <w:t>/</w:t>
      </w:r>
      <w:r>
        <w:rPr>
          <w:color w:val="000000"/>
          <w:sz w:val="24"/>
        </w:rPr>
        <w:t>成交</w:t>
      </w:r>
      <w:r>
        <w:rPr>
          <w:color w:val="000000"/>
          <w:sz w:val="24"/>
        </w:rPr>
        <w:t>通知书均为合同的有效组成部分，与本合同具有同等法律效力。</w:t>
      </w:r>
    </w:p>
    <w:p>
      <w:pPr>
        <w:ind w:firstLine="480"/>
        <w:jc w:val="both"/>
      </w:pPr>
      <w:r>
        <w:rPr>
          <w:color w:val="000000"/>
          <w:sz w:val="24"/>
        </w:rPr>
        <w:t>2.</w:t>
      </w:r>
      <w:r>
        <w:rPr>
          <w:color w:val="000000"/>
          <w:sz w:val="24"/>
        </w:rPr>
        <w:t>在执行本合同的过程中，所有经双方签署确认的文件（包括会议纪要、补充协议、往来信函）即成为本合同的有效组成部分。</w:t>
      </w:r>
    </w:p>
    <w:p>
      <w:pPr>
        <w:ind w:firstLine="480"/>
        <w:jc w:val="both"/>
      </w:pPr>
      <w:r>
        <w:rPr>
          <w:color w:val="000000"/>
          <w:sz w:val="24"/>
        </w:rPr>
        <w:t>3.</w:t>
      </w:r>
      <w:r>
        <w:rPr>
          <w:color w:val="000000"/>
          <w:sz w:val="24"/>
        </w:rPr>
        <w:t>如一方地址、电话、传真号码有变更，应在变更当日内书面通知对方，否则，应承担相应责任。</w:t>
      </w:r>
    </w:p>
    <w:p>
      <w:pPr>
        <w:ind w:firstLine="480"/>
        <w:jc w:val="both"/>
      </w:pPr>
      <w:r>
        <w:rPr>
          <w:color w:val="000000"/>
          <w:sz w:val="24"/>
        </w:rPr>
        <w:t>4.</w:t>
      </w:r>
      <w:r>
        <w:rPr>
          <w:color w:val="000000"/>
          <w:sz w:val="24"/>
        </w:rPr>
        <w:t>除甲方事先书面同意外，乙方不得部分或全部转让其应履行的合同项下的义务。</w:t>
      </w:r>
    </w:p>
    <w:p>
      <w:pPr>
        <w:ind w:firstLine="480"/>
        <w:jc w:val="both"/>
      </w:pPr>
      <w:r>
        <w:rPr>
          <w:color w:val="000000"/>
          <w:sz w:val="24"/>
        </w:rPr>
        <w:t>十一、合同生效</w:t>
      </w:r>
    </w:p>
    <w:p>
      <w:pPr>
        <w:ind w:firstLine="480"/>
        <w:jc w:val="both"/>
      </w:pPr>
      <w:r>
        <w:rPr>
          <w:color w:val="000000"/>
          <w:sz w:val="24"/>
        </w:rPr>
        <w:t>1.</w:t>
      </w:r>
      <w:r>
        <w:rPr>
          <w:color w:val="000000"/>
          <w:sz w:val="24"/>
        </w:rPr>
        <w:t>本合同在甲乙双方法人代表或其授权代表签字盖章后生效。</w:t>
      </w:r>
    </w:p>
    <w:p>
      <w:pPr>
        <w:ind w:firstLine="480"/>
        <w:jc w:val="both"/>
      </w:pPr>
      <w:r>
        <w:rPr>
          <w:color w:val="000000"/>
          <w:sz w:val="24"/>
        </w:rPr>
        <w:t>2.</w:t>
      </w:r>
      <w:r>
        <w:rPr>
          <w:color w:val="000000"/>
          <w:sz w:val="24"/>
        </w:rPr>
        <w:t>合同一式</w:t>
      </w:r>
      <w:r>
        <w:rPr>
          <w:sz w:val="21"/>
          <w:u w:val="single"/>
        </w:rPr>
        <w:t xml:space="preserve">     </w:t>
      </w:r>
      <w:r>
        <w:rPr>
          <w:color w:val="000000"/>
          <w:sz w:val="24"/>
        </w:rPr>
        <w:t>份，双方各执</w:t>
      </w:r>
      <w:r>
        <w:rPr>
          <w:sz w:val="21"/>
          <w:u w:val="single"/>
        </w:rPr>
        <w:t xml:space="preserve">     </w:t>
      </w:r>
      <w:r>
        <w:rPr>
          <w:color w:val="000000"/>
          <w:sz w:val="24"/>
        </w:rPr>
        <w:t>份。</w:t>
      </w:r>
    </w:p>
    <w:p>
      <w:pPr>
        <w:jc w:val="both"/>
      </w:pPr>
    </w:p>
    <w:p>
      <w:pPr>
        <w:jc w:val="both"/>
      </w:pPr>
      <w:r>
        <w:rPr>
          <w:color w:val="000000"/>
          <w:sz w:val="24"/>
        </w:rPr>
        <w:t>甲方（盖章）：</w:t>
      </w:r>
      <w:r>
        <w:rPr>
          <w:color w:val="000000"/>
          <w:sz w:val="24"/>
        </w:rPr>
        <w:t xml:space="preserve">                    </w:t>
      </w:r>
      <w:r>
        <w:rPr>
          <w:color w:val="000000"/>
          <w:sz w:val="24"/>
        </w:rPr>
        <w:t>乙方（盖章）：</w:t>
      </w:r>
    </w:p>
    <w:p>
      <w:pPr>
        <w:jc w:val="both"/>
      </w:pPr>
      <w:r>
        <w:rPr>
          <w:color w:val="000000"/>
          <w:sz w:val="24"/>
        </w:rPr>
        <w:t>授权代表：</w:t>
      </w:r>
      <w:r>
        <w:rPr>
          <w:color w:val="000000"/>
          <w:sz w:val="24"/>
        </w:rPr>
        <w:t xml:space="preserve">                </w:t>
      </w:r>
    </w:p>
    <w:p>
      <w:pPr>
        <w:jc w:val="both"/>
      </w:pPr>
      <w:r>
        <w:rPr>
          <w:color w:val="000000"/>
          <w:sz w:val="24"/>
        </w:rPr>
        <w:t>签定地点：</w:t>
      </w:r>
    </w:p>
    <w:p>
      <w:pPr>
        <w:jc w:val="both"/>
      </w:pP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r>
        <w:rPr>
          <w:color w:val="000000"/>
          <w:sz w:val="24"/>
        </w:rPr>
        <w:t xml:space="preserve">    </w:t>
      </w: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p>
      <w:pPr>
        <w:jc w:val="both"/>
      </w:pPr>
      <w:r>
        <w:rPr>
          <w:sz w:val="21"/>
        </w:rPr>
        <w:t xml:space="preserve">                                </w:t>
      </w:r>
      <w:r>
        <w:rPr>
          <w:color w:val="000000"/>
          <w:sz w:val="24"/>
        </w:rPr>
        <w:t>开户名称：</w:t>
      </w:r>
    </w:p>
    <w:p>
      <w:pPr>
        <w:jc w:val="both"/>
      </w:pPr>
      <w:r>
        <w:rPr>
          <w:sz w:val="21"/>
        </w:rPr>
        <w:t xml:space="preserve">                                </w:t>
      </w:r>
      <w:r>
        <w:rPr>
          <w:color w:val="000000"/>
          <w:sz w:val="24"/>
        </w:rPr>
        <w:t>银行帐号：</w:t>
      </w:r>
    </w:p>
    <w:p>
      <w:pPr>
        <w:jc w:val="both"/>
      </w:pPr>
      <w:r>
        <w:rPr>
          <w:sz w:val="21"/>
        </w:rPr>
        <w:t xml:space="preserve">                                  </w:t>
      </w:r>
      <w:r>
        <w:rPr>
          <w:color w:val="000000"/>
          <w:sz w:val="24"/>
        </w:rPr>
        <w:t>开</w:t>
      </w:r>
      <w:r>
        <w:rPr>
          <w:color w:val="000000"/>
          <w:sz w:val="24"/>
        </w:rPr>
        <w:t>户</w:t>
      </w:r>
      <w:r>
        <w:rPr>
          <w:color w:val="000000"/>
          <w:sz w:val="24"/>
        </w:rPr>
        <w:t>行：</w:t>
      </w:r>
    </w:p>
    <w:p>
      <w:pPr>
        <w:jc w:val="center"/>
      </w:pPr>
    </w:p>
    <w:p>
      <w:pPr>
        <w:jc w:val="center"/>
      </w:pPr>
    </w:p>
    <w:p>
      <w:pPr>
        <w:jc w:val="both"/>
      </w:pPr>
    </w:p>
    <w:p>
      <w:pPr>
        <w:jc w:val="both"/>
      </w:pPr>
    </w:p>
    <w:p>
      <w:pPr>
        <w:ind w:firstLine="480"/>
        <w:jc w:val="both"/>
      </w:pPr>
    </w:p>
    <w:p>
      <w:pPr>
        <w:jc w:val="both"/>
      </w:pPr>
      <w:r>
        <w:rPr>
          <w:sz w:val="21"/>
        </w:rPr>
        <w:t xml:space="preserve"> </w:t>
      </w:r>
    </w:p>
    <w:p>
      <w:pPr>
        <w:jc w:val="both"/>
      </w:pPr>
    </w:p>
    <w:p>
      <w:pPr>
        <w:jc w:val="both"/>
      </w:pPr>
    </w:p>
    <w:p/>
    <w:p>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440515-2023-01657</w:t>
      </w:r>
    </w:p>
    <w:p>
      <w:pPr>
        <w:jc w:val="center"/>
      </w:pPr>
      <w:r>
        <w:rPr>
          <w:b/>
          <w:sz w:val="24"/>
        </w:rPr>
        <w:t>采购项目编号：</w:t>
      </w:r>
      <w:r>
        <w:rPr>
          <w:b/>
          <w:sz w:val="24"/>
        </w:rPr>
        <w:t>HSCGZB202315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汕头市澄海区第三次全国土壤普查项目(二次)</w:t>
      </w:r>
      <w:r>
        <w:rPr>
          <w:u w:val="single"/>
        </w:rPr>
        <w:t>”</w:t>
      </w:r>
      <w:r>
        <w:rPr/>
        <w:t>项目的竞争性磋商[采购项目编号为：</w:t>
      </w:r>
      <w:r>
        <w:rPr>
          <w:u w:val="single"/>
        </w:rPr>
        <w:t>HSCGZB202315</w:t>
      </w:r>
      <w:r>
        <w:rPr/>
        <w:t>]，我方愿参与响应。</w:t>
      </w:r>
    </w:p>
    <w:p>
      <w:pPr>
        <w:ind w:firstLine="480"/>
      </w:pPr>
      <w:r>
        <w:rPr/>
        <w:t>我方确认收到贵方提供的</w:t>
      </w:r>
      <w:r>
        <w:rPr>
          <w:u w:val="single"/>
        </w:rPr>
        <w:t>“</w:t>
      </w:r>
      <w:r>
        <w:rPr>
          <w:u w:val="single"/>
        </w:rPr>
        <w:t>汕头市澄海区第三次全国土壤普查项目(二次)</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汕头市澄海区第三次全国土壤普查项目(二次)</w:t>
      </w:r>
      <w:r>
        <w:rPr/>
        <w:t>”项目采购[采购项目编号为</w:t>
      </w:r>
      <w:r>
        <w:rPr/>
        <w:t>HSCGZB202315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汕头市澄海区农业农村局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汕头市澄海区第三次全国土壤普查项目(二次)</w:t>
      </w:r>
      <w:r>
        <w:rPr/>
        <w:t>（采购项目编号：</w:t>
      </w:r>
      <w:r>
        <w:rPr/>
        <w:t>HSCGZB202315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汕头市澄海区第三次全国土壤普查项目(二次)</w:t>
      </w:r>
      <w:r>
        <w:rPr/>
        <w:t>”项目（采购项目编号：</w:t>
      </w:r>
      <w:r>
        <w:rPr/>
        <w:t>HSCGZB202315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