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440515-2023-02581</w:t>
      </w:r>
    </w:p>
    <w:p>
      <w:pPr>
        <w:jc w:val="center"/>
      </w:pPr>
      <w:r>
        <w:rPr>
          <w:b/>
          <w:sz w:val="24"/>
        </w:rPr>
        <w:t>采购项目编号：</w:t>
      </w:r>
      <w:r>
        <w:rPr>
          <w:b/>
          <w:sz w:val="24"/>
        </w:rPr>
        <w:t>HSCGZB202322</w:t>
      </w:r>
    </w:p>
    <w:p>
      <w:pPr>
        <w:jc w:val="center"/>
      </w:pPr>
      <w:r>
        <w:rPr>
          <w:b/>
          <w:sz w:val="24"/>
        </w:rPr>
        <w:t>项目名称：</w:t>
      </w:r>
      <w:r>
        <w:rPr>
          <w:b/>
          <w:sz w:val="24"/>
        </w:rPr>
        <w:t>汕头市澄海区莱芜岛片区道路及绿化带环卫保洁市场化服务项目</w:t>
      </w:r>
    </w:p>
    <w:p>
      <w:pPr>
        <w:jc w:val="center"/>
      </w:pPr>
      <w:r>
        <w:rPr>
          <w:b/>
          <w:sz w:val="24"/>
        </w:rPr>
        <w:t>采购人：</w:t>
      </w:r>
      <w:r>
        <w:rPr>
          <w:b/>
          <w:sz w:val="24"/>
        </w:rPr>
        <w:t>汕头市澄海区莱芜经济开发试验区管理委员会</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汕头市澄海区莱芜经济开发试验区管理委员会</w:t>
      </w:r>
      <w:r>
        <w:rPr/>
        <w:t>的委托，采用</w:t>
      </w:r>
      <w:r>
        <w:rPr/>
        <w:t>竞争性磋商</w:t>
      </w:r>
      <w:r>
        <w:rPr/>
        <w:t>方式组织采购</w:t>
      </w:r>
      <w:r>
        <w:rPr/>
        <w:t>汕头市澄海区莱芜岛片区道路及绿化带环卫保洁市场化服务项目</w:t>
      </w:r>
      <w:r>
        <w:rPr/>
        <w:t>。欢迎符合资格条件的供应商参加。</w:t>
      </w:r>
    </w:p>
    <w:p>
      <w:r>
        <w:rPr>
          <w:b/>
          <w:sz w:val="28"/>
        </w:rPr>
        <w:t>一.项目概述</w:t>
      </w:r>
    </w:p>
    <w:p>
      <w:r>
        <w:rPr>
          <w:b/>
          <w:sz w:val="24"/>
        </w:rPr>
        <w:t>1.名称与编号</w:t>
      </w:r>
    </w:p>
    <w:p>
      <w:pPr>
        <w:ind w:firstLine="480"/>
      </w:pPr>
      <w:r>
        <w:rPr/>
        <w:t>采购项目名称：</w:t>
      </w:r>
      <w:r>
        <w:rPr/>
        <w:t>汕头市澄海区莱芜岛片区道路及绿化带环卫保洁市场化服务项目</w:t>
      </w:r>
    </w:p>
    <w:p>
      <w:pPr>
        <w:ind w:firstLine="480"/>
      </w:pPr>
      <w:r>
        <w:rPr/>
        <w:t>采购计划编号：</w:t>
      </w:r>
      <w:r>
        <w:rPr/>
        <w:t>440515-2023-02581</w:t>
      </w:r>
    </w:p>
    <w:p>
      <w:pPr>
        <w:ind w:firstLine="480"/>
      </w:pPr>
      <w:r>
        <w:rPr/>
        <w:t>采购项目编号：</w:t>
      </w:r>
      <w:r>
        <w:rPr/>
        <w:t>HSCGZB202322</w:t>
      </w:r>
    </w:p>
    <w:p>
      <w:pPr>
        <w:ind w:firstLine="480"/>
      </w:pPr>
      <w:r>
        <w:rPr/>
        <w:t>采购方式：</w:t>
      </w:r>
      <w:r>
        <w:rPr/>
        <w:t>竞争性磋商</w:t>
      </w:r>
    </w:p>
    <w:p>
      <w:pPr>
        <w:ind w:firstLine="480"/>
      </w:pPr>
      <w:r>
        <w:rPr/>
        <w:t>预算金额：</w:t>
      </w:r>
      <w:r>
        <w:rPr/>
        <w:t>1,281,000.00</w:t>
      </w:r>
      <w:r>
        <w:rPr/>
        <w:t>元</w:t>
      </w:r>
    </w:p>
    <w:p>
      <w:r>
        <w:rPr>
          <w:b/>
          <w:sz w:val="24"/>
        </w:rPr>
        <w:t>2.项目内容及需求情况（采购项目技术规格、参数及要求）</w:t>
      </w:r>
    </w:p>
    <w:p>
      <w:pPr>
        <w:ind w:firstLine="480"/>
      </w:pPr>
    </w:p>
    <w:p/>
    <w:p>
      <w:r>
        <w:rPr/>
        <w:t>采购包1(汕头市澄海区莱芜岛片区道路及绿化带环卫保洁市场化服务项目):</w:t>
      </w:r>
    </w:p>
    <w:p>
      <w:r>
        <w:rPr/>
        <w:t>采购包预算金额：1,281,000.00元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清扫服务</w:t>
            </w:r>
          </w:p>
        </w:tc>
        <w:tc>
          <w:tcPr>
            <w:tcW w:type="dxa" w:w="2136"/>
          </w:tcPr>
          <w:p>
            <w:r>
              <w:rPr/>
              <w:t>汕头市澄海区莱芜岛片区道路及绿化带环卫保洁市场化服务项目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合同履行期限：一年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采购包1（汕头市澄海区莱芜岛片区道路及绿化带环卫保洁市场化服务项目）：</w:t>
      </w:r>
      <w:r>
        <w:rPr/>
        <w:t>参与的供应商（联合体）服务全部由符合政策要求的中小企业承接。</w:t>
      </w:r>
    </w:p>
    <w:p/>
    <w:p>
      <w:r>
        <w:rPr>
          <w:b/>
          <w:sz w:val="24"/>
        </w:rPr>
        <w:t>3.本项目特定的资格要求：</w:t>
      </w:r>
    </w:p>
    <w:p>
      <w:pPr>
        <w:ind w:firstLine="480"/>
      </w:pPr>
    </w:p>
    <w:p/>
    <w:p>
      <w:r>
        <w:rPr/>
        <w:t>采购包1（汕头市澄海区莱芜岛片区道路及绿化带环卫保洁市场化服务项目）：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汕头市澄海区莱芜经济开发试验区管理委员会</w:t>
      </w:r>
    </w:p>
    <w:p>
      <w:pPr>
        <w:ind w:firstLine="480"/>
      </w:pPr>
      <w:r>
        <w:rPr/>
        <w:t>地址：</w:t>
      </w:r>
      <w:r>
        <w:rPr/>
        <w:t>广东汕头市澄海区莱芜经济开发试验区管委综合大楼4楼</w:t>
      </w:r>
    </w:p>
    <w:p>
      <w:pPr>
        <w:ind w:firstLine="480"/>
      </w:pPr>
      <w:r>
        <w:rPr/>
        <w:t>联系方式：</w:t>
      </w:r>
      <w:r>
        <w:rPr/>
        <w:t>0754-85500101</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、项目名称：汕头市澄海区莱芜岛片区道路及绿化带环卫保洁市场化服务项目</w:t>
      </w:r>
    </w:p>
    <w:p>
      <w:pPr>
        <w:jc w:val="both"/>
      </w:pPr>
      <w:r>
        <w:rPr>
          <w:color w:val="000000"/>
          <w:sz w:val="24"/>
        </w:rPr>
        <w:t>2</w:t>
      </w:r>
      <w:r>
        <w:rPr>
          <w:color w:val="000000"/>
          <w:sz w:val="24"/>
        </w:rPr>
        <w:t>、采购人：汕头市澄海区莱芜经济开发试验区管理委员会</w:t>
      </w:r>
    </w:p>
    <w:p>
      <w:pPr>
        <w:jc w:val="both"/>
      </w:pPr>
      <w:r>
        <w:rPr>
          <w:color w:val="000000"/>
          <w:sz w:val="24"/>
        </w:rPr>
        <w:t>3</w:t>
      </w:r>
      <w:r>
        <w:rPr>
          <w:color w:val="000000"/>
          <w:sz w:val="24"/>
        </w:rPr>
        <w:t>、采购项目内容及需求：道路清扫保洁（含路肩、公共停车场、绿化带和牛皮癣清理）、废弃物（包含建筑垃圾）、片区道路两侧路缘杂草定期整理、树枝落叶、垃圾收集转运等作业服务，所有生活垃圾由成交供应商运输至附近垃圾压缩站。负责清除区域内海滩上的垃圾杂物，保持环境整洁美观。驻点或巡回对厕所及其周边环境进行清扫、冲洗、消毒，保养清洁并管理室内各种设施。</w:t>
      </w:r>
    </w:p>
    <w:p>
      <w:pPr>
        <w:jc w:val="both"/>
      </w:pPr>
      <w:r>
        <w:rPr>
          <w:color w:val="000000"/>
          <w:sz w:val="24"/>
        </w:rPr>
        <w:t>4</w:t>
      </w:r>
      <w:r>
        <w:rPr>
          <w:color w:val="000000"/>
          <w:sz w:val="24"/>
        </w:rPr>
        <w:t>、采购项目预算金额：</w:t>
      </w:r>
      <w:r>
        <w:rPr>
          <w:color w:val="000000"/>
          <w:sz w:val="24"/>
        </w:rPr>
        <w:t>1,281,000.00</w:t>
      </w:r>
      <w:r>
        <w:rPr>
          <w:color w:val="000000"/>
          <w:sz w:val="24"/>
        </w:rPr>
        <w:t>元。</w:t>
      </w:r>
    </w:p>
    <w:p/>
    <w:p>
      <w:pPr>
        <w:ind w:firstLine="480"/>
      </w:pPr>
    </w:p>
    <w:p/>
    <w:p>
      <w:r>
        <w:rPr/>
        <w:t>采购包1（汕头市澄海区莱芜岛片区道路及绿化带环卫保洁市场化服务项目）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服务期限：一年</w:t>
            </w:r>
          </w:p>
        </w:tc>
      </w:tr>
      <w:tr>
        <w:tc>
          <w:tcPr>
            <w:tcW w:type="dxa" w:w="4153"/>
          </w:tcPr>
          <w:p>
            <w:r>
              <w:rPr/>
              <w:t>标的提供的地点</w:t>
            </w:r>
          </w:p>
        </w:tc>
        <w:tc>
          <w:tcPr>
            <w:tcW w:type="dxa" w:w="4153"/>
          </w:tcPr>
          <w:p/>
          <w:p>
            <w:r>
              <w:rPr/>
              <w:t>汕头市澄海区莱芜辖区内。</w:t>
            </w:r>
          </w:p>
        </w:tc>
      </w:tr>
      <w:tr>
        <w:tc>
          <w:tcPr>
            <w:tcW w:type="dxa" w:w="4153"/>
          </w:tcPr>
          <w:p>
            <w:r>
              <w:rPr/>
              <w:t>付款方式</w:t>
            </w:r>
          </w:p>
        </w:tc>
        <w:tc>
          <w:tcPr>
            <w:tcW w:type="dxa" w:w="4153"/>
          </w:tcPr>
          <w:p/>
          <w:p/>
          <w:p>
            <w:r>
              <w:rPr/>
              <w:t>1期：支付比例80%,逐月按考核结果支付给成交供应商环卫作业服务费，每月将区级负担环卫经费的80%拨给成交供应商。</w:t>
            </w:r>
          </w:p>
          <w:p/>
          <w:p>
            <w:r>
              <w:rPr/>
              <w:t>2期：支付比例20%,剩余的20%每半年按区考核结果结算一次，实际结算金额以区环卫考核办考核结果为准，成交供应商收款时须向采购人开具有效发票。 支付时效说明：因采购人使用的是财政资金，所以采购人在前款规定的时间内支付成交供应商实际是向财政部门申请办理拨款支付的时间而不是实际支付的时间。成交供应商在规定时间内向采购人申请支付，采购人按期向财政部门申请拨款支付，成交供应商不得以此作为采购人的违约考量依据。</w:t>
            </w:r>
          </w:p>
        </w:tc>
      </w:tr>
      <w:tr>
        <w:tc>
          <w:tcPr>
            <w:tcW w:type="dxa" w:w="4153"/>
          </w:tcPr>
          <w:p>
            <w:r>
              <w:rPr/>
              <w:t>验收要求</w:t>
            </w:r>
          </w:p>
        </w:tc>
        <w:tc>
          <w:tcPr>
            <w:tcW w:type="dxa" w:w="4153"/>
          </w:tcPr>
          <w:p/>
          <w:p/>
          <w:p/>
          <w:p>
            <w:r>
              <w:rPr/>
              <w:t>1期：质量达到《广东省城市环境卫生质量》、《汕头市城市市容环境卫生管理条例》、《汕头市澄海区城区环卫作业规范》等有关法规规章和标准规范的规定。</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项目采购预算总金额为人民币1281000.00元，包括：人员工资、意外险、福利、垃圾转运、警示牌的设立、环卫清扫和运输车辆、环卫工人保洁车配置费、办公费、机械设备费、办公场地租赁费、企业管理、利润、税金、规费、处理一切伤亡事故费用、不可预见费用等一切相关费用。所有价格均应为人民币报价，金额单位为元。</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供应商投标报价不得高于项目采购预算，否则按无效响应处理。取成交供应商的最后磋商报价作为合同价。</w:t>
            </w:r>
          </w:p>
        </w:tc>
      </w:tr>
      <w:tr>
        <w:tc>
          <w:tcPr>
            <w:tcW w:type="dxa" w:w="2076"/>
          </w:tcPr>
          <w:p>
            <w:pPr>
              <w:jc w:val="center"/>
            </w:pPr>
            <w:r>
              <w:rPr/>
              <w:t>★</w:t>
            </w:r>
          </w:p>
        </w:tc>
        <w:tc>
          <w:tcPr>
            <w:tcW w:type="dxa" w:w="2076"/>
          </w:tcPr>
          <w:p>
            <w:pPr>
              <w:jc w:val="center"/>
            </w:pPr>
            <w:r>
              <w:rPr/>
              <w:t>3</w:t>
            </w:r>
          </w:p>
        </w:tc>
        <w:tc>
          <w:tcPr>
            <w:tcW w:type="dxa" w:w="2076"/>
          </w:tcPr>
          <w:p>
            <w:pPr>
              <w:jc w:val="left"/>
            </w:pPr>
            <w:r>
              <w:rPr/>
              <w:t>履约保证金</w:t>
            </w:r>
          </w:p>
        </w:tc>
        <w:tc>
          <w:tcPr>
            <w:tcW w:type="dxa" w:w="2076"/>
          </w:tcPr>
          <w:p>
            <w:pPr>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一、包装运输：成交供应商须将生活垃圾和经环保部门允许焚烧处理的工业垃圾运送至附近垃圾压缩站，建筑废弃土、大宗废旧物品收集、转运由成交供应商运输至临时处理点进行集中处理。 二、售后服务：达到《广东省城市环境卫生质量》、《汕头市城市市容环境卫生管理条例》、《汕头市澄海区城区环卫作业规范》等有关法规规章和标准规范的规定。 三、保险：为保障员工的人身安全及意外保险，成交供应商必须按有关规定，为员工购买“保险”，且为员工配置安全作业的工具和劳动保护用品。承包聘请的员工在工作时间必须穿着统一的工作服，工作服上要印上公司名称、及投诉电话号码；承包期间，员工伤亡等安全事故一概由成交供应商承担，与采购人无关。 四、合同解除规定情况 如果出现以下现象之一，采购人有权终止合同，及要求成交供应商赔偿采购人损失。 1、若成交供应商在服务期内累计出现4次以上（含4次）月考核评分低于65分或连续3个月的得分在65分以下的，采购人有权终止和成交供应商签订的合同，并没收成交供应商的履约保证金。 2、成交供应商在服务期间因管理不善导致出现安全事故，并在社会上造成不良影响及严重后果的。 3、任何由成交供应商的管理工作而引起的劳资纠纷问题影响正常作业的，采购人有权另行聘请人员确保正常保洁工作，所产生的费用在承包费中相应扣减。情节严重的，采购人有权解除本合同。 4、按项目所在地城市管理和综合执法部门办理从事城市生活垃圾经营性清扫、收集、运输服务审批许可证（若有须办理）。 5、任何一方如遇不可抗力事件而丧失履约能力的，本合同自行解除。 6、乙方如有下列情况之一发生，甲方有权单方面解除合同： A．不履行合同约定义务的； B．因破产或无清偿能力的。 五、其他重要注意事项 1、本项目承包服务费实行包干，在执行过程如遇未尽事宜，双方可协商解决。 2、服务期间成交供应商必须根据作业量的增加或创文工作需要适时增加相应数量的作业人员、作业车辆和作业机械、工具等以满足作业的需要，确保保洁质量。该费用已包含在投标报价中，采购人不再另行支付。 3、由于总标价已包含垃圾收集和现有有偿服务费用，成交供应商不能收取原由管委会和环卫部门收取的居民垃圾袋装费、临街门店卫生费和生产单位垃圾收集费等有偿卫生服务费用。如发现成交供应商擅自收取居民住户、沿路商铺、市场、机关、企事业单位、工厂等单位的环境卫生服务费，将按照收费额的两倍在服务承包费中扣除。因特殊原因成交供应商确需收取有偿卫生服务费的，需事先征得采购人书面同意方可收费。 4、采购人、成交供应商双方须积极协调配合清扫保洁和垃圾转运等作业的交接工作。 5、成交供应商承包的内容纳入有关部门组织的检查考核评比，并按相应的奖惩办法进行奖惩。 6、成交供应商应建立健全卫生质量检查档案，以备查验。 7、按项目所在地城市管理和综合执法部门办理从事城市生活垃圾经营性清扫、收集、运输服务审批许可证（若有须办理）。 8、服务期满，成交供应商未能继续获取清扫保洁作业和垃圾转运项目时，原有成交供应商要积极配合下一个成交供应商进行工作交接，不得以任何方式阻碍交接，影响采购人项目正常运行。否则，采购人有权另行聘请人员确保正常保洁工作，所产生的费用在履约保证金中相应扣减。 9、成交供应商因机械、工具、人员等不能满足清扫保洁和垃圾转运服务需求影响工作，5天内限期整改仍未符合承诺要求的，采购人有权单方面终止该项目合同。 10、成交供应商因其作业或作业材料引起第三方损害赔偿责任或行政处罚责任，若采购人依法或依行政命令对此发生了先行垫付，成交供应商应在收到采购人通知后的三天内支付。否则，采购人可直接在成交供应商的承包款中扣除。 11、对新增加或遗漏的道路面积以及重复计算的面积按道路级别的计费办法由双方协定并依法签订补充协议，并上传广东省政府采购网智慧云平台公示。 12、合同期满，成交供应商应如数归还由采购人提供使用的环卫设施，若造成损坏或数量不足的，成交供应商需按新购价赔偿采购人。若成交供应商不履行责任的，采购人可在成交供应商的承包款或履约保证金中扣减相关费用后再行付款，由此造成的付款时间延误由成交供应商负责。 六、汕头市澄海莱芜片区实施环卫管理新体制检查考核办法 为推进莱芜片区环卫管理新体制改革，实现市容环境卫生长效管理，完善考核监管机制，推动新体制工作落实，提升环境卫生作业质量水平，根据区政府的工作部署以及《广东省城乡生活垃圾处理条例》、《汕头市城市环境卫生质量标准》等有关法规规章和标准规范的规定，结合澄海区实施环卫管理新体制工作的要求，现制订莱芜片区环卫作业检查考核办法如下： （一）、指导思想 为加强对莱芜片区实施环卫管理新体制的监督、管理，促进澄海区环境卫生质量的稳定和提高，促进环卫作业高效优质服务，营造良好的城市卫生环境，更好地服务市民群众。 （二）、组织机构 成立莱芜片区环卫管理新体制绩效考核领导小组（下称领导小组），由莱芜管委分管领导任组长，莱芜管理服务科领导任副组长。负责莱芜片区实施环卫管理新体制的质量检查考核工作进行监督、协调、指导，根据实际及时修订检查考核内容及标准，审定考核结果等工作。 领导小组下设莱管委管理服务科。莱管委管理服务科负责莱芜片区实施环卫管理新体制的质量检查考核工作。 莱管委管理服务科主要职责： 1、负责组织环卫管理新体制的综合考评和日常考评； 2、负责检查情况的收集、整理、评分、反馈； 3、负责日常环卫作业的指导、协调、监督； 4、负责群众投诉、媒体曝光事项整改情况的督办等。 （三）、检查考核 考核范围：莱芜岛片区道路及绿化带等。 考核对象：管辖范围内的环卫作业服务公司。 考核内容： （1）道路（含公共停车场）、海滩、公厕的清扫和保洁（实施“门前三包”）； （2）垃圾的收集和转运； （3）管理责任单位工作落实情况。 （四）、环卫作业质量要求及考核评价标准 （1）莱芜片区环境卫生作业规范； （2）汕头市澄海区环卫管理检查考核评价标准（莱芜管委）。 （五）、检查考核方式和计分办法 1、检查考核方式。采取综合考评和日常考评相结合，不定期检查与随机抽查相结合。 （1）日常考评。莱管委管理服务科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莱管委管理服务科组织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2、计分办法。环卫作业服务单位当月总评得分，报送区环卫考核办作为评分核算依据。 3、经费核算办法。区考核和采购人考核各自按当月考核成绩在90分（含90分）以上的，全部拨付当月经费，得分在90分以下，每扣减1分即扣减该责任单位的当月经费的1%，以此类推。连续3个月的得分在65分以下的，采购人有权终止和环卫作业服务单位签订的合同。按区考核办法执行。 （六）、环卫作业考核经费拨付 逐月按考核结果支付给成交供应商环卫作业服务费，具体如下： 每月将区级负担环卫经费的80%拨给成交供应商，每半年按区考核结果结算一次，实际结算金额以区环卫考核办考核结果为准，成交供应商收款时须向采购人开具有效发票。 （七）、有关要求 1、环卫作业服务单位要按照新体制的实施要求，高质量、高水平落实责任范围内的环境卫生作业和日常管理工作，并接受莱管委管理服务科的检查和监督。 2、环卫作业服务单位要建立健全环卫作业质量自查自评工作机制，落实日常作业巡查和监管工作，整理完善检查资料归档，作为莱管委管理服务科的检查评价项目。 3、莱管委管理服务科应做到日常考评和综合考评各项资料收集齐全，考核人员应客观、公平、公正，每次考核参加人员应不少于2人同时在场。 4、考核评价月度得分情况，由莱管委管理服务科报区财政局、城管局各一次进行备案。 5、对群众投拆、媒体曝光的问题以及重大节日、活动等，环卫作业服务单位要认真制订工作措施，确保相应工作得到及时、有效地解决落实，并及时将工作方案或整改落实情况报莱管委管理服务科备案。 6、成交供应商必须无偿配合采购人完成上级交付的各项临时突击任务。 七、经验要求：供应商在经营范围内报价，且近年来资信良好，履约能力强，没有违法记录。 八、合同条款响应 同意接受合同范本所列述的各项条款。 九、汕头市澄海区环卫管理检查考核评价标准（莱芜管委）详见合同附件。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清扫服务</w:t>
            </w:r>
          </w:p>
        </w:tc>
        <w:tc>
          <w:tcPr>
            <w:tcW w:type="dxa" w:w="933"/>
          </w:tcPr>
          <w:p>
            <w:pPr>
              <w:jc w:val="left"/>
            </w:pPr>
            <w:r>
              <w:rPr/>
              <w:t>汕头市澄海区莱芜岛片区道路及绿化带环卫保洁市场化服务项目</w:t>
            </w:r>
          </w:p>
        </w:tc>
        <w:tc>
          <w:tcPr>
            <w:tcW w:type="dxa" w:w="933"/>
          </w:tcPr>
          <w:p>
            <w:pPr>
              <w:jc w:val="left"/>
            </w:pPr>
            <w:r>
              <w:rPr/>
              <w:t>项</w:t>
            </w:r>
          </w:p>
        </w:tc>
        <w:tc>
          <w:tcPr>
            <w:tcW w:type="dxa" w:w="933"/>
          </w:tcPr>
          <w:p>
            <w:pPr>
              <w:jc w:val="right"/>
            </w:pPr>
            <w:r>
              <w:rPr/>
              <w:t>1.00</w:t>
            </w:r>
          </w:p>
        </w:tc>
        <w:tc>
          <w:tcPr>
            <w:tcW w:type="dxa" w:w="933"/>
          </w:tcPr>
          <w:p>
            <w:pPr>
              <w:jc w:val="right"/>
            </w:pPr>
            <w:r>
              <w:rPr/>
              <w:t>1,281,000.00</w:t>
            </w:r>
          </w:p>
        </w:tc>
        <w:tc>
          <w:tcPr>
            <w:tcW w:type="dxa" w:w="933"/>
          </w:tcPr>
          <w:p>
            <w:pPr>
              <w:jc w:val="right"/>
            </w:pPr>
            <w:r>
              <w:rPr/>
              <w:t>1,281,000.00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汕头市澄海区莱芜岛片区道路及绿化带环卫保洁市场化服务项目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72"/>
              <w:jc w:val="both"/>
            </w:pPr>
            <w:r>
              <w:rPr>
                <w:b/>
                <w:sz w:val="24"/>
              </w:rPr>
              <w:t>一、</w:t>
            </w:r>
            <w:r>
              <w:rPr>
                <w:b/>
                <w:sz w:val="24"/>
              </w:rPr>
              <w:t>服务范围：</w:t>
            </w:r>
          </w:p>
          <w:p>
            <w:pPr>
              <w:jc w:val="both"/>
            </w:pPr>
            <w:r>
              <w:rPr>
                <w:b/>
                <w:sz w:val="24"/>
              </w:rPr>
              <w:t>（</w:t>
            </w:r>
            <w:r>
              <w:rPr>
                <w:b/>
                <w:sz w:val="24"/>
              </w:rPr>
              <w:t>1</w:t>
            </w:r>
            <w:r>
              <w:rPr>
                <w:b/>
                <w:sz w:val="24"/>
              </w:rPr>
              <w:t>）道路保洁</w:t>
            </w:r>
          </w:p>
          <w:tbl>
            <w:tblPr>
              <w:tblBorders>
                <w:top w:val="none" w:color="000000" w:sz="4"/>
                <w:left w:val="none" w:color="000000" w:sz="4"/>
                <w:bottom w:val="none" w:color="000000" w:sz="4"/>
                <w:right w:val="none" w:color="000000" w:sz="4"/>
                <w:insideH w:val="none"/>
                <w:insideV w:val="none"/>
              </w:tblBorders>
            </w:tblPr>
            <w:tblGrid>
              <w:gridCol w:w="513"/>
              <w:gridCol w:w="521"/>
              <w:gridCol w:w="2163"/>
              <w:gridCol w:w="819"/>
              <w:gridCol w:w="830"/>
              <w:gridCol w:w="750"/>
            </w:tblGrid>
            <w:tr>
              <w:tc>
                <w:tcPr>
                  <w:tcW w:type="dxa" w:w="513"/>
                  <w:tcBorders>
                    <w:top w:val="single" w:color="000000" w:sz="4"/>
                    <w:left w:val="single" w:color="000000" w:sz="4"/>
                    <w:bottom w:val="single" w:color="000000" w:sz="4"/>
                    <w:right w:val="single" w:color="000000" w:sz="4"/>
                  </w:tcBorders>
                  <w:vAlign w:val="top"/>
                </w:tcPr>
                <w:p>
                  <w:pPr>
                    <w:jc w:val="center"/>
                  </w:pPr>
                  <w:r>
                    <w:rPr>
                      <w:b/>
                      <w:sz w:val="24"/>
                    </w:rPr>
                    <w:t>序</w:t>
                  </w:r>
                  <w:r>
                    <w:rPr>
                      <w:b/>
                      <w:sz w:val="24"/>
                    </w:rPr>
                    <w:t>号</w:t>
                  </w:r>
                </w:p>
              </w:tc>
              <w:tc>
                <w:tcPr>
                  <w:tcW w:type="dxa" w:w="521"/>
                  <w:tcBorders>
                    <w:top w:val="single" w:color="000000" w:sz="4"/>
                    <w:left w:val="single" w:color="000000" w:sz="4"/>
                    <w:bottom w:val="single" w:color="000000" w:sz="4"/>
                    <w:right w:val="single" w:color="000000" w:sz="4"/>
                  </w:tcBorders>
                  <w:vAlign w:val="top"/>
                </w:tcPr>
                <w:p>
                  <w:pPr>
                    <w:jc w:val="center"/>
                  </w:pPr>
                  <w:r>
                    <w:rPr>
                      <w:b/>
                      <w:sz w:val="24"/>
                    </w:rPr>
                    <w:t>地点</w:t>
                  </w:r>
                </w:p>
              </w:tc>
              <w:tc>
                <w:tcPr>
                  <w:tcW w:type="dxa" w:w="2163"/>
                  <w:tcBorders>
                    <w:top w:val="single" w:color="000000" w:sz="4"/>
                    <w:left w:val="single" w:color="000000" w:sz="4"/>
                    <w:bottom w:val="single" w:color="000000" w:sz="4"/>
                    <w:right w:val="single" w:color="000000" w:sz="4"/>
                  </w:tcBorders>
                  <w:vAlign w:val="top"/>
                </w:tcPr>
                <w:p>
                  <w:pPr>
                    <w:jc w:val="center"/>
                  </w:pPr>
                  <w:r>
                    <w:rPr>
                      <w:b/>
                      <w:sz w:val="24"/>
                    </w:rPr>
                    <w:t>保洁范围</w:t>
                  </w:r>
                </w:p>
              </w:tc>
              <w:tc>
                <w:tcPr>
                  <w:tcW w:type="dxa" w:w="819"/>
                  <w:tcBorders>
                    <w:top w:val="single" w:color="000000" w:sz="4"/>
                    <w:left w:val="single" w:color="000000" w:sz="4"/>
                    <w:bottom w:val="single" w:color="000000" w:sz="4"/>
                    <w:right w:val="single" w:color="000000" w:sz="4"/>
                  </w:tcBorders>
                  <w:vAlign w:val="top"/>
                </w:tcPr>
                <w:p>
                  <w:pPr>
                    <w:jc w:val="center"/>
                  </w:pPr>
                  <w:r>
                    <w:rPr>
                      <w:b/>
                      <w:sz w:val="24"/>
                    </w:rPr>
                    <w:t>道路面积</w:t>
                  </w:r>
                </w:p>
              </w:tc>
              <w:tc>
                <w:tcPr>
                  <w:tcW w:type="dxa" w:w="830"/>
                  <w:tcBorders>
                    <w:top w:val="single" w:color="000000" w:sz="4"/>
                    <w:left w:val="single" w:color="000000" w:sz="4"/>
                    <w:bottom w:val="single" w:color="000000" w:sz="4"/>
                    <w:right w:val="single" w:color="000000" w:sz="4"/>
                  </w:tcBorders>
                  <w:vAlign w:val="top"/>
                </w:tcPr>
                <w:p>
                  <w:pPr>
                    <w:jc w:val="center"/>
                  </w:pPr>
                  <w:r>
                    <w:rPr>
                      <w:b/>
                      <w:sz w:val="24"/>
                    </w:rPr>
                    <w:t>绿化面积</w:t>
                  </w:r>
                </w:p>
              </w:tc>
              <w:tc>
                <w:tcPr>
                  <w:tcW w:type="dxa" w:w="750"/>
                  <w:tcBorders>
                    <w:top w:val="single" w:color="000000" w:sz="4"/>
                    <w:left w:val="single" w:color="000000" w:sz="4"/>
                    <w:bottom w:val="single" w:color="000000" w:sz="4"/>
                    <w:right w:val="single" w:color="000000" w:sz="4"/>
                  </w:tcBorders>
                  <w:vAlign w:val="top"/>
                </w:tcPr>
                <w:p>
                  <w:pPr>
                    <w:jc w:val="center"/>
                  </w:pPr>
                  <w:r>
                    <w:rPr>
                      <w:b/>
                      <w:sz w:val="24"/>
                    </w:rPr>
                    <w:t>道路级别</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w:t>
                  </w:r>
                </w:p>
              </w:tc>
              <w:tc>
                <w:tcPr>
                  <w:tcW w:type="dxa" w:w="521"/>
                  <w:vMerge w:val="restart"/>
                  <w:tcBorders>
                    <w:top w:val="none" w:color="000000" w:sz="4"/>
                    <w:left w:val="single" w:color="000000" w:sz="4"/>
                    <w:bottom w:val="single" w:color="000000" w:sz="4"/>
                    <w:right w:val="single" w:color="000000" w:sz="4"/>
                  </w:tcBorders>
                  <w:vAlign w:val="top"/>
                </w:tcPr>
                <w:p>
                  <w:pPr>
                    <w:ind w:firstLine="480"/>
                    <w:jc w:val="center"/>
                  </w:pPr>
                  <w:r>
                    <w:rPr>
                      <w:sz w:val="24"/>
                    </w:rPr>
                    <w:t>莱芜</w:t>
                  </w:r>
                </w:p>
                <w:p>
                  <w:pPr>
                    <w:ind w:firstLine="480"/>
                    <w:jc w:val="center"/>
                  </w:pPr>
                </w:p>
                <w:p>
                  <w:pPr>
                    <w:jc w:val="center"/>
                  </w:pPr>
                </w:p>
              </w:tc>
              <w:tc>
                <w:tcPr>
                  <w:tcW w:type="dxa" w:w="2163"/>
                  <w:tcBorders>
                    <w:top w:val="none" w:color="000000" w:sz="4"/>
                    <w:left w:val="single" w:color="000000" w:sz="4"/>
                    <w:bottom w:val="single" w:color="000000" w:sz="4"/>
                    <w:right w:val="single" w:color="000000" w:sz="4"/>
                  </w:tcBorders>
                  <w:vAlign w:val="top"/>
                </w:tcPr>
                <w:p>
                  <w:pPr>
                    <w:jc w:val="center"/>
                  </w:pPr>
                  <w:r>
                    <w:rPr>
                      <w:sz w:val="24"/>
                    </w:rPr>
                    <w:t>环岛西路（神女路</w:t>
                  </w:r>
                  <w:r>
                    <w:rPr>
                      <w:sz w:val="24"/>
                    </w:rPr>
                    <w:t>—环岛南路）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13600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5440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北环中路（神女路</w:t>
                  </w:r>
                  <w:r>
                    <w:rPr>
                      <w:sz w:val="24"/>
                    </w:rPr>
                    <w:t>—环岛东路）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14040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5460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3</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金叶北路（神女路</w:t>
                  </w:r>
                  <w:r>
                    <w:rPr>
                      <w:sz w:val="24"/>
                    </w:rPr>
                    <w:t>—古堡路）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9360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3120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4</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金叶南路（迎宾路</w:t>
                  </w:r>
                  <w:r>
                    <w:rPr>
                      <w:sz w:val="24"/>
                    </w:rPr>
                    <w:t>—古堡路）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6960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2320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5</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古堡路（三角绿道</w:t>
                  </w:r>
                  <w:r>
                    <w:rPr>
                      <w:sz w:val="24"/>
                    </w:rPr>
                    <w:t>—古堡前）</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2700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1080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6</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观潮东路（神女路</w:t>
                  </w:r>
                  <w:r>
                    <w:rPr>
                      <w:sz w:val="24"/>
                    </w:rPr>
                    <w:t>—环岛东路）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2400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720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7</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观潮西路（神女路</w:t>
                  </w:r>
                  <w:r>
                    <w:rPr>
                      <w:sz w:val="24"/>
                    </w:rPr>
                    <w:t>—环岛南路）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1680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480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8</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泰南路（金叶南路</w:t>
                  </w:r>
                  <w:r>
                    <w:rPr>
                      <w:sz w:val="24"/>
                    </w:rPr>
                    <w:t>—环岛南路）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3200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1280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9</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南屿路（金叶南路</w:t>
                  </w:r>
                  <w:r>
                    <w:rPr>
                      <w:sz w:val="24"/>
                    </w:rPr>
                    <w:t>—环岛南路）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1600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400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10</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莱华路（神女路</w:t>
                  </w:r>
                  <w:r>
                    <w:rPr>
                      <w:sz w:val="24"/>
                    </w:rPr>
                    <w:t>—环岛东路）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3360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1120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11</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南环二路（神女路</w:t>
                  </w:r>
                  <w:r>
                    <w:rPr>
                      <w:sz w:val="24"/>
                    </w:rPr>
                    <w:t>—迎宾路）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2600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1040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12</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迎宾路（神女路</w:t>
                  </w:r>
                  <w:r>
                    <w:rPr>
                      <w:sz w:val="24"/>
                    </w:rPr>
                    <w:t>—财宛）</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2640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880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13</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新华路（金叶北路</w:t>
                  </w:r>
                  <w:r>
                    <w:rPr>
                      <w:sz w:val="24"/>
                    </w:rPr>
                    <w:t>—金叶南路）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1100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440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14</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晨光路（神女路</w:t>
                  </w:r>
                  <w:r>
                    <w:rPr>
                      <w:sz w:val="24"/>
                    </w:rPr>
                    <w:t>—环岛东路）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6300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2700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15</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弧形支路（神女路</w:t>
                  </w:r>
                  <w:r>
                    <w:rPr>
                      <w:sz w:val="24"/>
                    </w:rPr>
                    <w:t>—北环中路）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2360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354</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16</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南环一路（迎宾路</w:t>
                  </w:r>
                  <w:r>
                    <w:rPr>
                      <w:sz w:val="24"/>
                    </w:rPr>
                    <w:t>—南环中路）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1600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640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17</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三角绿岛（环岛西路）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160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18</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象园（迎宾路</w:t>
                  </w:r>
                  <w:r>
                    <w:rPr>
                      <w:sz w:val="24"/>
                    </w:rPr>
                    <w:t>—南环中路）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600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19</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进岛绿岛（北环中路）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900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20</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晴园前路（象园弧路</w:t>
                  </w:r>
                  <w:r>
                    <w:rPr>
                      <w:sz w:val="24"/>
                    </w:rPr>
                    <w:t>—金叶南路）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220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110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21</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三如阁前路（象园弧路</w:t>
                  </w:r>
                  <w:r>
                    <w:rPr>
                      <w:sz w:val="24"/>
                    </w:rPr>
                    <w:t>—金叶南路）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220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110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22</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象园弧路（象园</w:t>
                  </w:r>
                  <w:r>
                    <w:rPr>
                      <w:sz w:val="24"/>
                    </w:rPr>
                    <w:t>—迎宾路）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475</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285</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23</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清风阁前广场（清风阁前</w:t>
                  </w:r>
                  <w:r>
                    <w:rPr>
                      <w:sz w:val="24"/>
                    </w:rPr>
                    <w:t>—南环中路）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1080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9</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24</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侨苑前路（神女路</w:t>
                  </w:r>
                  <w:r>
                    <w:rPr>
                      <w:sz w:val="24"/>
                    </w:rPr>
                    <w:t>—南环中路）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460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230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25</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莱发小区环路（莱发小区</w:t>
                  </w:r>
                  <w:r>
                    <w:rPr>
                      <w:sz w:val="24"/>
                    </w:rPr>
                    <w:t>—神女路）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2800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1400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26</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铭兴别墅前路（别墅前</w:t>
                  </w:r>
                  <w:r>
                    <w:rPr>
                      <w:sz w:val="24"/>
                    </w:rPr>
                    <w:t>—神女路）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690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115</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27</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南屿路东侧路（金叶南路</w:t>
                  </w:r>
                  <w:r>
                    <w:rPr>
                      <w:sz w:val="24"/>
                    </w:rPr>
                    <w:t>—木屋别墅）</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520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28</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天桥路（金叶南路</w:t>
                  </w:r>
                  <w:r>
                    <w:rPr>
                      <w:sz w:val="24"/>
                    </w:rPr>
                    <w:t>—金叶北路）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480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120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29</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赋园前绿岛（神女路</w:t>
                  </w:r>
                  <w:r>
                    <w:rPr>
                      <w:sz w:val="24"/>
                    </w:rPr>
                    <w:t>—环岛东路）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900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30</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乳峰路（神女路</w:t>
                  </w:r>
                  <w:r>
                    <w:rPr>
                      <w:sz w:val="24"/>
                    </w:rPr>
                    <w:t>—双乳峰）</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800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400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31</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爱国主义基地</w:t>
                  </w:r>
                  <w:r>
                    <w:rPr>
                      <w:sz w:val="24"/>
                    </w:rPr>
                    <w:t>（</w:t>
                  </w:r>
                  <w:r>
                    <w:rPr>
                      <w:sz w:val="24"/>
                    </w:rPr>
                    <w:t>古炮台景区</w:t>
                  </w:r>
                  <w:r>
                    <w:rPr>
                      <w:sz w:val="24"/>
                    </w:rPr>
                    <w:t>）</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1600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1200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二级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32</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环岛南路</w:t>
                  </w:r>
                  <w:r>
                    <w:rPr>
                      <w:sz w:val="24"/>
                    </w:rPr>
                    <w:t>(观潮西路—环岛西路)</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11210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2950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一级</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4"/>
                    </w:rPr>
                    <w:t>33</w:t>
                  </w:r>
                </w:p>
              </w:tc>
              <w:tc>
                <w:tcPr>
                  <w:tcW w:type="dxa" w:w="52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vAlign w:val="top"/>
                </w:tcPr>
                <w:p>
                  <w:pPr>
                    <w:jc w:val="center"/>
                  </w:pPr>
                  <w:r>
                    <w:rPr>
                      <w:sz w:val="24"/>
                    </w:rPr>
                    <w:t>环岛西路</w:t>
                  </w:r>
                  <w:r>
                    <w:rPr>
                      <w:sz w:val="24"/>
                    </w:rPr>
                    <w:t>(环岛西路公共停车场)</w:t>
                  </w:r>
                </w:p>
              </w:tc>
              <w:tc>
                <w:tcPr>
                  <w:tcW w:type="dxa" w:w="819"/>
                  <w:tcBorders>
                    <w:top w:val="none" w:color="000000" w:sz="4"/>
                    <w:left w:val="single" w:color="000000" w:sz="4"/>
                    <w:bottom w:val="single" w:color="000000" w:sz="4"/>
                    <w:right w:val="single" w:color="000000" w:sz="4"/>
                  </w:tcBorders>
                  <w:vAlign w:val="top"/>
                </w:tcPr>
                <w:p>
                  <w:pPr>
                    <w:jc w:val="center"/>
                  </w:pPr>
                  <w:r>
                    <w:rPr>
                      <w:sz w:val="24"/>
                    </w:rPr>
                    <w:t>900</w:t>
                  </w:r>
                </w:p>
              </w:tc>
              <w:tc>
                <w:tcPr>
                  <w:tcW w:type="dxa" w:w="830"/>
                  <w:tcBorders>
                    <w:top w:val="none" w:color="000000" w:sz="4"/>
                    <w:left w:val="single" w:color="000000" w:sz="4"/>
                    <w:bottom w:val="single" w:color="000000" w:sz="4"/>
                    <w:right w:val="single" w:color="000000" w:sz="4"/>
                  </w:tcBorders>
                  <w:vAlign w:val="top"/>
                </w:tcPr>
                <w:p>
                  <w:pPr>
                    <w:jc w:val="center"/>
                  </w:pPr>
                  <w:r>
                    <w:rPr>
                      <w:sz w:val="24"/>
                    </w:rPr>
                    <w:t>90</w:t>
                  </w:r>
                </w:p>
              </w:tc>
              <w:tc>
                <w:tcPr>
                  <w:tcW w:type="dxa" w:w="750"/>
                  <w:tcBorders>
                    <w:top w:val="none" w:color="000000" w:sz="4"/>
                    <w:left w:val="single" w:color="000000" w:sz="4"/>
                    <w:bottom w:val="single" w:color="000000" w:sz="4"/>
                    <w:right w:val="single" w:color="000000" w:sz="4"/>
                  </w:tcBorders>
                  <w:vAlign w:val="top"/>
                </w:tcPr>
                <w:p>
                  <w:pPr>
                    <w:jc w:val="center"/>
                  </w:pPr>
                  <w:r>
                    <w:rPr>
                      <w:sz w:val="24"/>
                    </w:rPr>
                    <w:t>三级</w:t>
                  </w:r>
                </w:p>
              </w:tc>
            </w:tr>
            <w:tr>
              <w:tc>
                <w:tcPr>
                  <w:tcW w:type="dxa" w:w="5596"/>
                  <w:gridSpan w:val="6"/>
                  <w:tcBorders>
                    <w:top w:val="none" w:color="000000" w:sz="4"/>
                    <w:left w:val="single" w:color="000000" w:sz="4"/>
                    <w:bottom w:val="single" w:color="000000" w:sz="4"/>
                    <w:right w:val="single" w:color="000000" w:sz="4"/>
                  </w:tcBorders>
                  <w:vAlign w:val="top"/>
                </w:tcPr>
                <w:p>
                  <w:pPr>
                    <w:ind w:firstLine="480"/>
                    <w:jc w:val="both"/>
                  </w:pPr>
                  <w:r>
                    <w:rPr>
                      <w:sz w:val="24"/>
                    </w:rPr>
                    <w:t>备注：以上面积只供参考，实际作业面积与参考面积不符的，以实际作业面积为准，采购人不另拨经费。上述路段保洁内容包括：道路清扫保洁（含路肩、公共停车场、绿化带和牛皮癣清理）、废弃物（包含建筑垃圾）、片区道路两侧路缘杂草定期整理、树枝落叶、垃圾收集转运等作业服务。</w:t>
                  </w:r>
                </w:p>
              </w:tc>
            </w:tr>
          </w:tbl>
          <w:p>
            <w:pPr>
              <w:jc w:val="both"/>
            </w:pPr>
            <w:r>
              <w:rPr>
                <w:b/>
                <w:sz w:val="24"/>
              </w:rPr>
              <w:t>（</w:t>
            </w:r>
            <w:r>
              <w:rPr>
                <w:b/>
                <w:sz w:val="24"/>
              </w:rPr>
              <w:t>2</w:t>
            </w:r>
            <w:r>
              <w:rPr>
                <w:b/>
                <w:sz w:val="24"/>
              </w:rPr>
              <w:t>）莱芜围海滩保洁</w:t>
            </w:r>
          </w:p>
          <w:tbl>
            <w:tblPr>
              <w:tblBorders>
                <w:top w:val="none" w:color="000000" w:sz="4"/>
                <w:left w:val="none" w:color="000000" w:sz="4"/>
                <w:bottom w:val="none" w:color="000000" w:sz="4"/>
                <w:right w:val="none" w:color="000000" w:sz="4"/>
                <w:insideH w:val="none"/>
                <w:insideV w:val="none"/>
              </w:tblBorders>
            </w:tblPr>
            <w:tblGrid>
              <w:gridCol w:w="344"/>
              <w:gridCol w:w="1264"/>
              <w:gridCol w:w="1748"/>
              <w:gridCol w:w="2231"/>
            </w:tblGrid>
            <w:tr>
              <w:tc>
                <w:tcPr>
                  <w:tcW w:type="dxa" w:w="344"/>
                  <w:vMerge w:val="restart"/>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1264"/>
                  <w:vMerge w:val="restart"/>
                  <w:tcBorders>
                    <w:top w:val="single" w:color="000000" w:sz="4"/>
                    <w:left w:val="none" w:color="000000" w:sz="4"/>
                    <w:bottom w:val="single" w:color="000000" w:sz="4"/>
                    <w:right w:val="single" w:color="000000" w:sz="4"/>
                  </w:tcBorders>
                  <w:vAlign w:val="top"/>
                </w:tcPr>
                <w:p>
                  <w:pPr>
                    <w:jc w:val="center"/>
                  </w:pPr>
                  <w:r>
                    <w:rPr>
                      <w:b/>
                      <w:sz w:val="24"/>
                    </w:rPr>
                    <w:t>项目名称</w:t>
                  </w:r>
                </w:p>
              </w:tc>
              <w:tc>
                <w:tcPr>
                  <w:tcW w:type="dxa" w:w="1748"/>
                  <w:vMerge w:val="restart"/>
                  <w:tcBorders>
                    <w:top w:val="single" w:color="000000" w:sz="4"/>
                    <w:left w:val="none" w:color="000000" w:sz="4"/>
                    <w:bottom w:val="single" w:color="000000" w:sz="4"/>
                    <w:right w:val="single" w:color="000000" w:sz="4"/>
                  </w:tcBorders>
                  <w:vAlign w:val="top"/>
                </w:tcPr>
                <w:p>
                  <w:pPr>
                    <w:jc w:val="center"/>
                  </w:pPr>
                  <w:r>
                    <w:rPr>
                      <w:b/>
                      <w:sz w:val="24"/>
                    </w:rPr>
                    <w:t>服务范围</w:t>
                  </w:r>
                </w:p>
              </w:tc>
              <w:tc>
                <w:tcPr>
                  <w:tcW w:type="dxa" w:w="2231"/>
                  <w:vMerge w:val="restart"/>
                  <w:tcBorders>
                    <w:top w:val="single" w:color="000000" w:sz="4"/>
                    <w:left w:val="none" w:color="000000" w:sz="4"/>
                    <w:bottom w:val="single" w:color="000000" w:sz="4"/>
                    <w:right w:val="single" w:color="000000" w:sz="4"/>
                  </w:tcBorders>
                  <w:vAlign w:val="top"/>
                </w:tcPr>
                <w:p>
                  <w:pPr>
                    <w:jc w:val="center"/>
                  </w:pPr>
                  <w:r>
                    <w:rPr>
                      <w:b/>
                      <w:sz w:val="24"/>
                    </w:rPr>
                    <w:t>备注</w:t>
                  </w:r>
                </w:p>
              </w:tc>
            </w:tr>
            <w:tr/>
            <w:tr>
              <w:tc>
                <w:tcPr>
                  <w:tcW w:type="dxa" w:w="34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莱芜围海滩</w:t>
                  </w:r>
                </w:p>
              </w:tc>
              <w:tc>
                <w:tcPr>
                  <w:tcW w:type="dxa" w:w="1748"/>
                  <w:tcBorders>
                    <w:top w:val="none" w:color="000000" w:sz="4"/>
                    <w:left w:val="none" w:color="000000" w:sz="4"/>
                    <w:bottom w:val="single" w:color="000000" w:sz="4"/>
                    <w:right w:val="single" w:color="000000" w:sz="4"/>
                  </w:tcBorders>
                  <w:vAlign w:val="top"/>
                </w:tcPr>
                <w:p>
                  <w:pPr>
                    <w:jc w:val="left"/>
                  </w:pPr>
                  <w:r>
                    <w:rPr>
                      <w:sz w:val="24"/>
                    </w:rPr>
                    <w:t>自海湾尚景北环中路东侧海滩起至北港咀防波堤海滩止</w:t>
                  </w:r>
                </w:p>
              </w:tc>
              <w:tc>
                <w:tcPr>
                  <w:tcW w:type="dxa" w:w="2231"/>
                  <w:tcBorders>
                    <w:top w:val="none" w:color="000000" w:sz="4"/>
                    <w:left w:val="none" w:color="000000" w:sz="4"/>
                    <w:bottom w:val="single" w:color="000000" w:sz="4"/>
                    <w:right w:val="single" w:color="000000" w:sz="4"/>
                  </w:tcBorders>
                  <w:vAlign w:val="top"/>
                </w:tcPr>
                <w:p>
                  <w:pPr>
                    <w:jc w:val="left"/>
                  </w:pPr>
                  <w:r>
                    <w:rPr>
                      <w:sz w:val="24"/>
                    </w:rPr>
                    <w:t>负责清除区域内海滩上的垃圾杂物，保持环境整洁美观。</w:t>
                  </w:r>
                </w:p>
              </w:tc>
            </w:tr>
          </w:tbl>
          <w:p>
            <w:pPr>
              <w:jc w:val="both"/>
            </w:pPr>
            <w:r>
              <w:rPr>
                <w:b/>
                <w:sz w:val="24"/>
              </w:rPr>
              <w:t>（</w:t>
            </w:r>
            <w:r>
              <w:rPr>
                <w:b/>
                <w:sz w:val="24"/>
              </w:rPr>
              <w:t>3</w:t>
            </w:r>
            <w:r>
              <w:rPr>
                <w:b/>
                <w:sz w:val="24"/>
              </w:rPr>
              <w:t>）公厕保洁</w:t>
            </w:r>
          </w:p>
          <w:tbl>
            <w:tblPr>
              <w:tblBorders>
                <w:top w:val="none" w:color="000000" w:sz="4"/>
                <w:left w:val="none" w:color="000000" w:sz="4"/>
                <w:bottom w:val="none" w:color="000000" w:sz="4"/>
                <w:right w:val="none" w:color="000000" w:sz="4"/>
                <w:insideH w:val="none"/>
                <w:insideV w:val="none"/>
              </w:tblBorders>
            </w:tblPr>
            <w:tblGrid>
              <w:gridCol w:w="344"/>
              <w:gridCol w:w="1218"/>
              <w:gridCol w:w="1032"/>
              <w:gridCol w:w="2984"/>
            </w:tblGrid>
            <w:tr>
              <w:tc>
                <w:tcPr>
                  <w:tcW w:type="dxa" w:w="344"/>
                  <w:vMerge w:val="restart"/>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1218"/>
                  <w:vMerge w:val="restart"/>
                  <w:tcBorders>
                    <w:top w:val="single" w:color="000000" w:sz="4"/>
                    <w:left w:val="none" w:color="000000" w:sz="4"/>
                    <w:bottom w:val="single" w:color="000000" w:sz="4"/>
                    <w:right w:val="single" w:color="000000" w:sz="4"/>
                  </w:tcBorders>
                  <w:vAlign w:val="top"/>
                </w:tcPr>
                <w:p>
                  <w:pPr>
                    <w:jc w:val="center"/>
                  </w:pPr>
                  <w:r>
                    <w:rPr>
                      <w:b/>
                      <w:sz w:val="24"/>
                    </w:rPr>
                    <w:t>项目名称</w:t>
                  </w:r>
                </w:p>
              </w:tc>
              <w:tc>
                <w:tcPr>
                  <w:tcW w:type="dxa" w:w="1032"/>
                  <w:vMerge w:val="restart"/>
                  <w:tcBorders>
                    <w:top w:val="single" w:color="000000" w:sz="4"/>
                    <w:left w:val="none" w:color="000000" w:sz="4"/>
                    <w:bottom w:val="single" w:color="000000" w:sz="4"/>
                    <w:right w:val="single" w:color="000000" w:sz="4"/>
                  </w:tcBorders>
                  <w:vAlign w:val="top"/>
                </w:tcPr>
                <w:p>
                  <w:pPr>
                    <w:jc w:val="center"/>
                  </w:pPr>
                  <w:r>
                    <w:rPr>
                      <w:b/>
                      <w:sz w:val="24"/>
                    </w:rPr>
                    <w:t>数量（座）</w:t>
                  </w:r>
                </w:p>
              </w:tc>
              <w:tc>
                <w:tcPr>
                  <w:tcW w:type="dxa" w:w="2984"/>
                  <w:vMerge w:val="restart"/>
                  <w:tcBorders>
                    <w:top w:val="single" w:color="000000" w:sz="4"/>
                    <w:left w:val="none" w:color="000000" w:sz="4"/>
                    <w:bottom w:val="single" w:color="000000" w:sz="4"/>
                    <w:right w:val="single" w:color="000000" w:sz="4"/>
                  </w:tcBorders>
                  <w:vAlign w:val="top"/>
                </w:tcPr>
                <w:p>
                  <w:pPr>
                    <w:jc w:val="center"/>
                  </w:pPr>
                  <w:r>
                    <w:rPr>
                      <w:b/>
                      <w:sz w:val="24"/>
                    </w:rPr>
                    <w:t>备注</w:t>
                  </w:r>
                </w:p>
              </w:tc>
            </w:tr>
            <w:tr/>
            <w:tr>
              <w:tc>
                <w:tcPr>
                  <w:tcW w:type="dxa" w:w="344"/>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218"/>
                  <w:tcBorders>
                    <w:top w:val="none" w:color="000000" w:sz="4"/>
                    <w:left w:val="none" w:color="000000" w:sz="4"/>
                    <w:bottom w:val="single" w:color="000000" w:sz="4"/>
                    <w:right w:val="single" w:color="000000" w:sz="4"/>
                  </w:tcBorders>
                  <w:vAlign w:val="top"/>
                </w:tcPr>
                <w:p>
                  <w:pPr>
                    <w:jc w:val="center"/>
                  </w:pPr>
                  <w:r>
                    <w:rPr>
                      <w:sz w:val="24"/>
                    </w:rPr>
                    <w:t>公厕</w:t>
                  </w:r>
                </w:p>
              </w:tc>
              <w:tc>
                <w:tcPr>
                  <w:tcW w:type="dxa" w:w="1032"/>
                  <w:tcBorders>
                    <w:top w:val="none" w:color="000000" w:sz="4"/>
                    <w:left w:val="none" w:color="000000" w:sz="4"/>
                    <w:bottom w:val="single" w:color="000000" w:sz="4"/>
                    <w:right w:val="single" w:color="000000" w:sz="4"/>
                  </w:tcBorders>
                  <w:vAlign w:val="top"/>
                </w:tcPr>
                <w:p>
                  <w:pPr>
                    <w:jc w:val="center"/>
                  </w:pPr>
                  <w:r>
                    <w:rPr>
                      <w:sz w:val="24"/>
                    </w:rPr>
                    <w:t>1</w:t>
                  </w:r>
                </w:p>
              </w:tc>
              <w:tc>
                <w:tcPr>
                  <w:tcW w:type="dxa" w:w="2984"/>
                  <w:tcBorders>
                    <w:top w:val="none" w:color="000000" w:sz="4"/>
                    <w:left w:val="none" w:color="000000" w:sz="4"/>
                    <w:bottom w:val="single" w:color="000000" w:sz="4"/>
                    <w:right w:val="single" w:color="000000" w:sz="4"/>
                  </w:tcBorders>
                  <w:vAlign w:val="top"/>
                </w:tcPr>
                <w:p>
                  <w:pPr>
                    <w:jc w:val="left"/>
                  </w:pPr>
                  <w:r>
                    <w:rPr>
                      <w:sz w:val="24"/>
                    </w:rPr>
                    <w:t>驻点或骑车巡回对厕所及其周边环境进行清扫、</w:t>
                  </w:r>
                  <w:r>
                    <w:rPr>
                      <w:sz w:val="24"/>
                    </w:rPr>
                    <w:t>冲洗、消毒</w:t>
                  </w:r>
                  <w:r>
                    <w:rPr>
                      <w:sz w:val="24"/>
                    </w:rPr>
                    <w:t>,保养清洁并管理室内各种设施。</w:t>
                  </w:r>
                </w:p>
              </w:tc>
            </w:tr>
          </w:tbl>
          <w:p>
            <w:pPr>
              <w:ind w:firstLine="482"/>
              <w:jc w:val="both"/>
            </w:pPr>
            <w:r>
              <w:rPr>
                <w:b/>
                <w:sz w:val="24"/>
              </w:rPr>
              <w:t>二、</w:t>
            </w:r>
            <w:r>
              <w:rPr>
                <w:b/>
                <w:sz w:val="24"/>
              </w:rPr>
              <w:t>项目服务内容：</w:t>
            </w:r>
          </w:p>
          <w:p>
            <w:pPr>
              <w:ind w:firstLine="480"/>
              <w:jc w:val="both"/>
            </w:pPr>
            <w:r>
              <w:rPr>
                <w:sz w:val="24"/>
              </w:rPr>
              <w:t>道路清扫保洁（含路肩、公共停车场、绿化带和牛皮癣清理）、废弃物（包含建筑垃圾）、片区道路两侧路缘杂草定期整理、树枝落叶、垃圾收集转运等作业服务，所有生活垃圾由成交供应商运输至附近垃圾压缩站。负责清除区域内海滩上的垃圾杂物，保持环境整洁美观。驻点或巡回对厕所及其周边环境进行清扫、冲洗、消毒，保养清洁并管理室内各种设施。</w:t>
            </w:r>
          </w:p>
          <w:p>
            <w:pPr>
              <w:ind w:firstLine="482"/>
              <w:jc w:val="both"/>
            </w:pPr>
            <w:r>
              <w:rPr>
                <w:b/>
                <w:sz w:val="24"/>
              </w:rPr>
              <w:t>三、莱芜片区环境卫生作业规范</w:t>
            </w:r>
          </w:p>
          <w:p>
            <w:pPr>
              <w:ind w:firstLine="480"/>
              <w:jc w:val="both"/>
            </w:pPr>
            <w:r>
              <w:rPr>
                <w:sz w:val="24"/>
              </w:rPr>
              <w:t>为加强城乡环境卫生管理，提高城乡的环境卫生质量水平和工作效率，营造文明、整洁、优美、和谐的城乡环境。根据建设部颁布的《广东省城乡生活垃圾处理条例》和《汕头市城市环境卫生质量标准》等的规定，结合澄海莱芜实际，现就道路清扫保洁、生活垃圾收运处理、环卫设备设施管理等环卫作业制定本规范。</w:t>
            </w:r>
          </w:p>
          <w:p>
            <w:pPr>
              <w:ind w:firstLine="480"/>
              <w:jc w:val="both"/>
            </w:pPr>
            <w:r>
              <w:rPr>
                <w:sz w:val="24"/>
              </w:rPr>
              <w:t>（一）本规范适用于莱芜片区的环境卫生工作，莱芜片区环卫作业服务单位及所有环卫工人均应当遵守本环卫作业规范。</w:t>
            </w:r>
          </w:p>
          <w:p>
            <w:pPr>
              <w:ind w:firstLine="480"/>
              <w:jc w:val="both"/>
            </w:pPr>
            <w:r>
              <w:rPr>
                <w:sz w:val="24"/>
              </w:rPr>
              <w:t>（二）道路的清扫和保洁</w:t>
            </w:r>
          </w:p>
          <w:p>
            <w:pPr>
              <w:ind w:firstLine="480"/>
              <w:jc w:val="both"/>
            </w:pPr>
            <w:r>
              <w:rPr>
                <w:sz w:val="24"/>
              </w:rPr>
              <w:t>1、范围和等级</w:t>
            </w:r>
          </w:p>
          <w:p>
            <w:pPr>
              <w:ind w:firstLine="480"/>
              <w:jc w:val="both"/>
            </w:pPr>
            <w:r>
              <w:rPr>
                <w:sz w:val="24"/>
              </w:rPr>
              <w:t>道路清扫保洁范围为车行道、人行道、道路绿地、靠近人行道的敞开场地、公共停车场等公共场所的地面、栏杆等设施。根据城乡道路的商业（功能区域）密集度、道路人流量、机动车流量、城郊差别等因素确定道路保洁等级划分为四种类型，本项目属于一、二、三级。</w:t>
            </w:r>
          </w:p>
          <w:p>
            <w:pPr>
              <w:ind w:firstLine="480"/>
              <w:jc w:val="both"/>
            </w:pPr>
            <w:r>
              <w:rPr>
                <w:sz w:val="24"/>
              </w:rPr>
              <w:t>一级：位于重点党政机关周边和重要商业、文化、教育、卫生体育、交通站场等公共场所周边的道路；对城市市容有重大影响的道路。</w:t>
            </w:r>
          </w:p>
          <w:p>
            <w:pPr>
              <w:ind w:firstLine="480"/>
              <w:jc w:val="both"/>
            </w:pPr>
            <w:r>
              <w:rPr>
                <w:sz w:val="24"/>
              </w:rPr>
              <w:t>二级：位于一般商业、文化、教育、卫生体育、交通站场等公共场所周边的道路；城市主、次干道及其附近路段；有固定公共线路的路段。</w:t>
            </w:r>
          </w:p>
          <w:p>
            <w:pPr>
              <w:ind w:firstLine="480"/>
              <w:jc w:val="both"/>
            </w:pPr>
            <w:r>
              <w:rPr>
                <w:sz w:val="24"/>
              </w:rPr>
              <w:t>三级：位于居民区和单位相间的路段；城郊结合部的主要交通路段。</w:t>
            </w:r>
          </w:p>
          <w:p>
            <w:pPr>
              <w:ind w:firstLine="480"/>
              <w:jc w:val="both"/>
            </w:pPr>
            <w:r>
              <w:rPr>
                <w:sz w:val="24"/>
              </w:rPr>
              <w:t>四级：居住区（包括农村）内街小巷道路；人流量、车流量较少的路段。</w:t>
            </w:r>
          </w:p>
          <w:p>
            <w:pPr>
              <w:ind w:firstLine="480"/>
              <w:jc w:val="both"/>
            </w:pPr>
            <w:r>
              <w:rPr>
                <w:sz w:val="24"/>
              </w:rPr>
              <w:t>2、质量要求</w:t>
            </w:r>
          </w:p>
          <w:p>
            <w:pPr>
              <w:ind w:firstLine="480"/>
              <w:jc w:val="both"/>
            </w:pPr>
            <w:r>
              <w:rPr>
                <w:sz w:val="24"/>
              </w:rPr>
              <w:t>（</w:t>
            </w:r>
            <w:r>
              <w:rPr>
                <w:sz w:val="24"/>
              </w:rPr>
              <w:t>1）严格执行“五无一洁”质量标准，即无残留污水、无沙土残积、无明显污迹、无堆积物、无破损和乱张贴，清扫保洁应达到路面整洁。</w:t>
            </w:r>
          </w:p>
          <w:p>
            <w:pPr>
              <w:ind w:firstLine="480"/>
              <w:jc w:val="both"/>
            </w:pPr>
            <w:r>
              <w:rPr>
                <w:sz w:val="24"/>
              </w:rPr>
              <w:t>（</w:t>
            </w:r>
            <w:r>
              <w:rPr>
                <w:sz w:val="24"/>
              </w:rPr>
              <w:t>2）道路两侧的果皮箱、灯杆、路牌广告等公共设施的清扫保洁质量标准与相连接的道路相同。</w:t>
            </w:r>
          </w:p>
          <w:p>
            <w:pPr>
              <w:ind w:firstLine="480"/>
              <w:jc w:val="both"/>
            </w:pPr>
            <w:r>
              <w:rPr>
                <w:sz w:val="24"/>
              </w:rPr>
              <w:t>（</w:t>
            </w:r>
            <w:r>
              <w:rPr>
                <w:sz w:val="24"/>
              </w:rPr>
              <w:t>3）环卫作业服务单位应按卫生责任区域（地段）落实人员作业，不得漏扫、漏收、漏运。清扫保洁至责任区域（地段）交界时，应扫过5米。</w:t>
            </w:r>
          </w:p>
          <w:p>
            <w:pPr>
              <w:ind w:firstLine="480"/>
              <w:jc w:val="both"/>
            </w:pPr>
            <w:r>
              <w:rPr>
                <w:sz w:val="24"/>
              </w:rPr>
              <w:t>（</w:t>
            </w:r>
            <w:r>
              <w:rPr>
                <w:sz w:val="24"/>
              </w:rPr>
              <w:t>4）出入口、城乡结合部应加大整治力度，发现垃圾、废土杂物应及时组织清理整治，消除卫生死角。</w:t>
            </w:r>
          </w:p>
          <w:p>
            <w:pPr>
              <w:ind w:firstLine="480"/>
              <w:jc w:val="both"/>
            </w:pPr>
            <w:r>
              <w:rPr>
                <w:sz w:val="24"/>
              </w:rPr>
              <w:t>3、作业时间</w:t>
            </w:r>
          </w:p>
          <w:p>
            <w:pPr>
              <w:ind w:firstLine="480"/>
              <w:jc w:val="both"/>
            </w:pPr>
            <w:r>
              <w:rPr>
                <w:sz w:val="24"/>
              </w:rPr>
              <w:t>（</w:t>
            </w:r>
            <w:r>
              <w:rPr>
                <w:sz w:val="24"/>
              </w:rPr>
              <w:t>1）道路清扫范围内每日清扫及保洁，实行每日至少一次普遍清扫（称为普扫）。具体次数根据项目需要而定。</w:t>
            </w:r>
          </w:p>
          <w:p>
            <w:pPr>
              <w:ind w:firstLine="480"/>
              <w:jc w:val="both"/>
            </w:pPr>
            <w:r>
              <w:rPr>
                <w:sz w:val="24"/>
              </w:rPr>
              <w:t>（</w:t>
            </w:r>
            <w:r>
              <w:rPr>
                <w:sz w:val="24"/>
              </w:rPr>
              <w:t>2）首次普扫在7时30分前完成。</w:t>
            </w:r>
          </w:p>
          <w:p>
            <w:pPr>
              <w:ind w:firstLine="480"/>
              <w:jc w:val="both"/>
            </w:pPr>
            <w:r>
              <w:rPr>
                <w:sz w:val="24"/>
              </w:rPr>
              <w:t>（</w:t>
            </w:r>
            <w:r>
              <w:rPr>
                <w:sz w:val="24"/>
              </w:rPr>
              <w:t>3）保洁时间：从8时00分至22时00分共14小时保洁。</w:t>
            </w:r>
          </w:p>
          <w:p>
            <w:pPr>
              <w:ind w:firstLine="480"/>
              <w:jc w:val="both"/>
            </w:pPr>
            <w:r>
              <w:rPr>
                <w:sz w:val="24"/>
              </w:rPr>
              <w:t>4、文明作业要求</w:t>
            </w:r>
          </w:p>
          <w:p>
            <w:pPr>
              <w:ind w:firstLine="480"/>
              <w:jc w:val="both"/>
            </w:pPr>
            <w:r>
              <w:rPr>
                <w:sz w:val="24"/>
              </w:rPr>
              <w:t>（</w:t>
            </w:r>
            <w:r>
              <w:rPr>
                <w:sz w:val="24"/>
              </w:rPr>
              <w:t>1）清扫保洁人员应小心执扫、控制扬尘,避免妨碍行人。</w:t>
            </w:r>
          </w:p>
          <w:p>
            <w:pPr>
              <w:ind w:firstLine="480"/>
              <w:jc w:val="both"/>
            </w:pPr>
            <w:r>
              <w:rPr>
                <w:sz w:val="24"/>
              </w:rPr>
              <w:t>（</w:t>
            </w:r>
            <w:r>
              <w:rPr>
                <w:sz w:val="24"/>
              </w:rPr>
              <w:t>2）清扫保洁人员应穿着统一制作的工作服，保持衣冠整齐，佩戴工号牌，夜间作业应佩带反光安全标志。</w:t>
            </w:r>
          </w:p>
          <w:p>
            <w:pPr>
              <w:ind w:firstLine="480"/>
              <w:jc w:val="both"/>
            </w:pPr>
            <w:r>
              <w:rPr>
                <w:sz w:val="24"/>
              </w:rPr>
              <w:t>（</w:t>
            </w:r>
            <w:r>
              <w:rPr>
                <w:sz w:val="24"/>
              </w:rPr>
              <w:t>3）保洁垃圾车、洒水车不得横向占道。</w:t>
            </w:r>
          </w:p>
          <w:p>
            <w:pPr>
              <w:ind w:firstLine="480"/>
              <w:jc w:val="both"/>
            </w:pPr>
            <w:r>
              <w:rPr>
                <w:sz w:val="24"/>
              </w:rPr>
              <w:t>（</w:t>
            </w:r>
            <w:r>
              <w:rPr>
                <w:sz w:val="24"/>
              </w:rPr>
              <w:t>4）洒水车作业应发送警示信号提醒路人，控制适当的水压和行速，避免妨碍路人和行车安全。</w:t>
            </w:r>
          </w:p>
          <w:p>
            <w:pPr>
              <w:ind w:firstLine="480"/>
              <w:jc w:val="both"/>
            </w:pPr>
            <w:r>
              <w:rPr>
                <w:sz w:val="24"/>
              </w:rPr>
              <w:t>5、设施设备的维护和保洁</w:t>
            </w:r>
          </w:p>
          <w:p>
            <w:pPr>
              <w:ind w:firstLine="480"/>
              <w:jc w:val="both"/>
            </w:pPr>
            <w:r>
              <w:rPr>
                <w:sz w:val="24"/>
              </w:rPr>
              <w:t>（</w:t>
            </w:r>
            <w:r>
              <w:rPr>
                <w:sz w:val="24"/>
              </w:rPr>
              <w:t>1）道路设置的垃圾分类收集容器应确保无残缺破损、封闭性好，干净美观，与周围环境相协调。</w:t>
            </w:r>
          </w:p>
          <w:p>
            <w:pPr>
              <w:ind w:firstLine="480"/>
              <w:jc w:val="both"/>
            </w:pPr>
            <w:r>
              <w:rPr>
                <w:sz w:val="24"/>
              </w:rPr>
              <w:t>（</w:t>
            </w:r>
            <w:r>
              <w:rPr>
                <w:sz w:val="24"/>
              </w:rPr>
              <w:t>2）收集容器放置点及周围应整洁、无蝇、无臭、无存留垃圾和污水，收集容器每天洗刷不少于一次；保洁车、收集容器内垃圾不外溢，及时清空。</w:t>
            </w:r>
          </w:p>
          <w:p>
            <w:pPr>
              <w:ind w:firstLine="480"/>
              <w:jc w:val="both"/>
            </w:pPr>
            <w:r>
              <w:rPr>
                <w:sz w:val="24"/>
              </w:rPr>
              <w:t>（三）垃圾的收集和转运</w:t>
            </w:r>
          </w:p>
          <w:p>
            <w:pPr>
              <w:ind w:firstLine="480"/>
              <w:jc w:val="both"/>
            </w:pPr>
            <w:r>
              <w:rPr>
                <w:sz w:val="24"/>
              </w:rPr>
              <w:t>1、垃圾的投放和收集。</w:t>
            </w:r>
          </w:p>
          <w:p>
            <w:pPr>
              <w:ind w:firstLine="480"/>
              <w:jc w:val="both"/>
            </w:pPr>
            <w:r>
              <w:rPr>
                <w:sz w:val="24"/>
              </w:rPr>
              <w:t>实行定区域、定任务、定时间、定人员、定职责、定质量的</w:t>
            </w:r>
            <w:r>
              <w:rPr>
                <w:sz w:val="24"/>
              </w:rPr>
              <w:t>“六定”上门收集办法。</w:t>
            </w:r>
          </w:p>
          <w:p>
            <w:pPr>
              <w:ind w:firstLine="480"/>
              <w:jc w:val="both"/>
            </w:pPr>
            <w:r>
              <w:rPr>
                <w:sz w:val="24"/>
              </w:rPr>
              <w:t>（</w:t>
            </w:r>
            <w:r>
              <w:rPr>
                <w:sz w:val="24"/>
              </w:rPr>
              <w:t>1）居民投放生活垃圾应使用垃圾袋包装，单位、门店投放时应使用垃圾袋或垃圾容器，在指定的时间、地点投放。实行垃圾分类收集的区域，居民及单位门店应将垃圾进行初步分类投放。</w:t>
            </w:r>
          </w:p>
          <w:p>
            <w:pPr>
              <w:ind w:firstLine="480"/>
              <w:jc w:val="both"/>
            </w:pPr>
            <w:r>
              <w:rPr>
                <w:sz w:val="24"/>
              </w:rPr>
              <w:t>（</w:t>
            </w:r>
            <w:r>
              <w:rPr>
                <w:sz w:val="24"/>
              </w:rPr>
              <w:t>2）上门收集垃圾每日不少于一次，工作人员应身着统一规定的服装，佩带工号牌或统一制作的标志，按时进行上门收集垃圾。应于18时至21时00分进行上门收集垃圾。</w:t>
            </w:r>
          </w:p>
          <w:p>
            <w:pPr>
              <w:ind w:firstLine="480"/>
              <w:jc w:val="both"/>
            </w:pPr>
            <w:r>
              <w:rPr>
                <w:sz w:val="24"/>
              </w:rPr>
              <w:t>（</w:t>
            </w:r>
            <w:r>
              <w:rPr>
                <w:sz w:val="24"/>
              </w:rPr>
              <w:t>3）作业质量要求：收集搬运过程应无遗漏、无洒漏、无渗滤液滴漏。使用小型垃圾车向垃圾站转运的过程，严禁拆捡垃圾，不得妨碍道路交通；小型垃圾车应覆盖密闭，不对周边环境造成二次污染。</w:t>
            </w:r>
          </w:p>
          <w:p>
            <w:pPr>
              <w:ind w:firstLine="480"/>
              <w:jc w:val="both"/>
            </w:pPr>
            <w:r>
              <w:rPr>
                <w:sz w:val="24"/>
              </w:rPr>
              <w:t>2、垃圾的转运</w:t>
            </w:r>
          </w:p>
          <w:p>
            <w:pPr>
              <w:ind w:firstLine="480"/>
              <w:jc w:val="both"/>
            </w:pPr>
            <w:r>
              <w:rPr>
                <w:sz w:val="24"/>
              </w:rPr>
              <w:t>（</w:t>
            </w:r>
            <w:r>
              <w:rPr>
                <w:sz w:val="24"/>
              </w:rPr>
              <w:t>1）垃圾转运站应在离地面2.5米以上的显眼方位设置标志牌；公布站名、作业时间及投拆电话。作业时间：5时开放、22时关门。</w:t>
            </w:r>
          </w:p>
          <w:p>
            <w:pPr>
              <w:ind w:firstLine="480"/>
              <w:jc w:val="both"/>
            </w:pPr>
            <w:r>
              <w:rPr>
                <w:sz w:val="24"/>
              </w:rPr>
              <w:t>（</w:t>
            </w:r>
            <w:r>
              <w:rPr>
                <w:sz w:val="24"/>
              </w:rPr>
              <w:t>2）站内作业规章、管理制度应上墙公布，陈设整齐；站内及周围不得堆放非必需物品；天花板、地面、墙壁无明显污迹、积水、蛛网。</w:t>
            </w:r>
          </w:p>
          <w:p>
            <w:pPr>
              <w:ind w:firstLine="480"/>
              <w:jc w:val="both"/>
            </w:pPr>
            <w:r>
              <w:rPr>
                <w:sz w:val="24"/>
              </w:rPr>
              <w:t>（</w:t>
            </w:r>
            <w:r>
              <w:rPr>
                <w:sz w:val="24"/>
              </w:rPr>
              <w:t>3）垃圾转运站管理人员应熟悉操作规程，持证上岗，身着统一服饰；夜间（20时后）作业时，应尽量减低工具撞击产生的噪声；应避免压缩设备超负荷运转产生高分贝噪声。</w:t>
            </w:r>
          </w:p>
          <w:p>
            <w:pPr>
              <w:ind w:firstLine="480"/>
              <w:jc w:val="both"/>
            </w:pPr>
            <w:r>
              <w:rPr>
                <w:sz w:val="24"/>
              </w:rPr>
              <w:t>（</w:t>
            </w:r>
            <w:r>
              <w:rPr>
                <w:sz w:val="24"/>
              </w:rPr>
              <w:t>4）垃圾转运站当天作业结束后应对站内及周边进行全面冲洗、消毒、灭蝇，保持无蚊蝇、无恶臭。</w:t>
            </w:r>
          </w:p>
          <w:p>
            <w:pPr>
              <w:ind w:firstLine="480"/>
              <w:jc w:val="both"/>
            </w:pPr>
            <w:r>
              <w:rPr>
                <w:sz w:val="24"/>
              </w:rPr>
              <w:t>（</w:t>
            </w:r>
            <w:r>
              <w:rPr>
                <w:sz w:val="24"/>
              </w:rPr>
              <w:t>5）垃圾车装满垃圾出站前应放净车厢内积存污水，并对垃圾车车身进行冲洗，确保车身干净，无外挂垃圾，确保沿途无垃圾漏散和污水滴漏。</w:t>
            </w:r>
          </w:p>
          <w:p>
            <w:pPr>
              <w:ind w:firstLine="480"/>
              <w:jc w:val="both"/>
            </w:pPr>
            <w:r>
              <w:rPr>
                <w:sz w:val="24"/>
              </w:rPr>
              <w:t>（</w:t>
            </w:r>
            <w:r>
              <w:rPr>
                <w:sz w:val="24"/>
              </w:rPr>
              <w:t>6）车厢装满后，应在30分钟之内运离转运站；作业时间内应及时补充车次，以保证垃圾顺利进站。</w:t>
            </w:r>
          </w:p>
          <w:p>
            <w:pPr>
              <w:ind w:firstLine="480"/>
              <w:jc w:val="both"/>
            </w:pPr>
            <w:r>
              <w:rPr>
                <w:sz w:val="24"/>
              </w:rPr>
              <w:t>（</w:t>
            </w:r>
            <w:r>
              <w:rPr>
                <w:sz w:val="24"/>
              </w:rPr>
              <w:t>7）垃圾露天转运点夜间23时到早晨6时之间应停止作业，作业时遵守秩序不能扰民，作业结束后应将路面清洗干净，无残留垃圾、无污迹、无明显臭味。</w:t>
            </w:r>
          </w:p>
          <w:p>
            <w:pPr>
              <w:ind w:firstLine="480"/>
              <w:jc w:val="both"/>
            </w:pPr>
            <w:r>
              <w:rPr>
                <w:sz w:val="24"/>
              </w:rPr>
              <w:t>3、车辆及车场的管理</w:t>
            </w:r>
          </w:p>
          <w:p>
            <w:pPr>
              <w:ind w:firstLine="480"/>
              <w:jc w:val="both"/>
            </w:pPr>
            <w:r>
              <w:rPr>
                <w:sz w:val="24"/>
              </w:rPr>
              <w:t>（</w:t>
            </w:r>
            <w:r>
              <w:rPr>
                <w:sz w:val="24"/>
              </w:rPr>
              <w:t>1）运输车辆应保持车容整洁，车貌美观，安全性能优，防污染措施完备。</w:t>
            </w:r>
          </w:p>
          <w:p>
            <w:pPr>
              <w:ind w:firstLine="480"/>
              <w:jc w:val="both"/>
            </w:pPr>
            <w:r>
              <w:rPr>
                <w:sz w:val="24"/>
              </w:rPr>
              <w:t>（</w:t>
            </w:r>
            <w:r>
              <w:rPr>
                <w:sz w:val="24"/>
              </w:rPr>
              <w:t>2）车场地面平整清洁，无泥沙堆积，基本无垃圾散落，无大面积油渍，无积水，无卫生死角，工具摆放整齐。</w:t>
            </w:r>
          </w:p>
          <w:p>
            <w:pPr>
              <w:ind w:firstLine="480"/>
              <w:jc w:val="both"/>
            </w:pPr>
            <w:r>
              <w:rPr>
                <w:sz w:val="24"/>
              </w:rPr>
              <w:t>（四）公共厕所的清扫和保洁</w:t>
            </w:r>
          </w:p>
          <w:p>
            <w:pPr>
              <w:ind w:firstLine="480"/>
              <w:jc w:val="both"/>
            </w:pPr>
            <w:r>
              <w:rPr>
                <w:sz w:val="24"/>
              </w:rPr>
              <w:t>1、范围：凡供公共使用的厕所，不论其所有权的归属为何皆属于本标准所指之公共厕所。公共厕所的清扫和保洁范围为公厕内及公厕周边5米范围内的公共场所。</w:t>
            </w:r>
          </w:p>
          <w:p>
            <w:pPr>
              <w:ind w:firstLine="480"/>
              <w:jc w:val="both"/>
            </w:pPr>
            <w:r>
              <w:rPr>
                <w:sz w:val="24"/>
              </w:rPr>
              <w:t>2、质量要求</w:t>
            </w:r>
          </w:p>
          <w:p>
            <w:pPr>
              <w:ind w:firstLine="480"/>
              <w:jc w:val="both"/>
            </w:pPr>
            <w:r>
              <w:rPr>
                <w:sz w:val="24"/>
              </w:rPr>
              <w:t>（</w:t>
            </w:r>
            <w:r>
              <w:rPr>
                <w:sz w:val="24"/>
              </w:rPr>
              <w:t>1）公厕及流动公厕无明显臭味。</w:t>
            </w:r>
          </w:p>
          <w:p>
            <w:pPr>
              <w:ind w:firstLine="480"/>
              <w:jc w:val="both"/>
            </w:pPr>
            <w:r>
              <w:rPr>
                <w:sz w:val="24"/>
              </w:rPr>
              <w:t>（</w:t>
            </w:r>
            <w:r>
              <w:rPr>
                <w:sz w:val="24"/>
              </w:rPr>
              <w:t>2）公厕内墙面、天花板、门窗、隔板及设施无积灰、污迹、蛛网、无乱涂画，公厕外墙保持整洁。</w:t>
            </w:r>
          </w:p>
          <w:p>
            <w:pPr>
              <w:ind w:firstLine="480"/>
              <w:jc w:val="both"/>
            </w:pPr>
            <w:r>
              <w:rPr>
                <w:sz w:val="24"/>
              </w:rPr>
              <w:t>（</w:t>
            </w:r>
            <w:r>
              <w:rPr>
                <w:sz w:val="24"/>
              </w:rPr>
              <w:t>3）公厕周围1米内地面、楼梯、公厕内地面整洁、无积水，公厕痰迹、果皮、纸片、烟蒂或其他垃圾总数不超过3件（处）。公厕内基本无蚊蝇等昆虫（不超过1只）。</w:t>
            </w:r>
          </w:p>
          <w:p>
            <w:pPr>
              <w:ind w:firstLine="480"/>
              <w:jc w:val="both"/>
            </w:pPr>
            <w:r>
              <w:rPr>
                <w:sz w:val="24"/>
              </w:rPr>
              <w:t>（</w:t>
            </w:r>
            <w:r>
              <w:rPr>
                <w:sz w:val="24"/>
              </w:rPr>
              <w:t>4）大便槽（盆）无积粪；小便槽无水锈，尿垢、垃圾；沟眼、管道畅通。地面应保持清洁，无积水及污迹，雨天应设置防滑垫或设置防滑标志。</w:t>
            </w:r>
          </w:p>
          <w:p>
            <w:pPr>
              <w:ind w:firstLine="480"/>
              <w:jc w:val="both"/>
            </w:pPr>
            <w:r>
              <w:rPr>
                <w:sz w:val="24"/>
              </w:rPr>
              <w:t>3、作业时间</w:t>
            </w:r>
          </w:p>
          <w:p>
            <w:pPr>
              <w:ind w:firstLine="480"/>
              <w:jc w:val="both"/>
            </w:pPr>
            <w:r>
              <w:rPr>
                <w:sz w:val="24"/>
              </w:rPr>
              <w:t>（</w:t>
            </w:r>
            <w:r>
              <w:rPr>
                <w:sz w:val="24"/>
              </w:rPr>
              <w:t>1）公共厕所每日彻底冲洗不少于3次，上午应至少彻底洗刷1次，首次冲洗应在7时前完成；中午冲洗应视情况而定。</w:t>
            </w:r>
          </w:p>
          <w:p>
            <w:pPr>
              <w:ind w:firstLine="480"/>
              <w:jc w:val="both"/>
            </w:pPr>
            <w:r>
              <w:rPr>
                <w:sz w:val="24"/>
              </w:rPr>
              <w:t>（</w:t>
            </w:r>
            <w:r>
              <w:rPr>
                <w:sz w:val="24"/>
              </w:rPr>
              <w:t>2）公厕的保洁时间应覆盖公厕的开放时段。</w:t>
            </w:r>
          </w:p>
          <w:p>
            <w:pPr>
              <w:ind w:firstLine="480"/>
              <w:jc w:val="both"/>
            </w:pPr>
            <w:r>
              <w:rPr>
                <w:sz w:val="24"/>
              </w:rPr>
              <w:t>4、设施的维护</w:t>
            </w:r>
          </w:p>
          <w:p>
            <w:pPr>
              <w:ind w:firstLine="480"/>
              <w:jc w:val="both"/>
            </w:pPr>
            <w:r>
              <w:rPr>
                <w:sz w:val="24"/>
              </w:rPr>
              <w:t>（</w:t>
            </w:r>
            <w:r>
              <w:rPr>
                <w:sz w:val="24"/>
              </w:rPr>
              <w:t>1）公厕的通风、冲水、洗手、照明等设施及门板、便器完好，正常提供使用。</w:t>
            </w:r>
          </w:p>
          <w:p>
            <w:pPr>
              <w:ind w:firstLine="480"/>
              <w:jc w:val="both"/>
            </w:pPr>
            <w:r>
              <w:rPr>
                <w:sz w:val="24"/>
              </w:rPr>
              <w:t>（</w:t>
            </w:r>
            <w:r>
              <w:rPr>
                <w:sz w:val="24"/>
              </w:rPr>
              <w:t>2）公厕的内外墙、天花板保持完好；无剥落，地面无破损。</w:t>
            </w:r>
          </w:p>
          <w:p>
            <w:pPr>
              <w:ind w:firstLine="480"/>
              <w:jc w:val="both"/>
            </w:pPr>
            <w:r>
              <w:rPr>
                <w:sz w:val="24"/>
              </w:rPr>
              <w:t>5、文明服务要求</w:t>
            </w:r>
          </w:p>
          <w:p>
            <w:pPr>
              <w:ind w:firstLine="480"/>
              <w:jc w:val="both"/>
            </w:pPr>
            <w:r>
              <w:rPr>
                <w:sz w:val="24"/>
              </w:rPr>
              <w:t>（</w:t>
            </w:r>
            <w:r>
              <w:rPr>
                <w:sz w:val="24"/>
              </w:rPr>
              <w:t>1）在适当的位置设置规范、完整无损的公厕指引牌、标志牌；在显眼处公布公厕的基本概况、管理制度及投诉监督电话。</w:t>
            </w:r>
          </w:p>
          <w:p>
            <w:pPr>
              <w:ind w:firstLine="480"/>
              <w:jc w:val="both"/>
            </w:pPr>
            <w:r>
              <w:rPr>
                <w:sz w:val="24"/>
              </w:rPr>
              <w:t>（</w:t>
            </w:r>
            <w:r>
              <w:rPr>
                <w:sz w:val="24"/>
              </w:rPr>
              <w:t>2）公厕管理人员有条件的应穿着统一制作的行业工作服，保持衣冠整齐，并佩戴工号牌，且有明显所属单位标志；文明作业、礼貌服务，以适当的方式宣传环境卫生。</w:t>
            </w:r>
          </w:p>
          <w:p>
            <w:pPr>
              <w:ind w:firstLine="480"/>
              <w:jc w:val="both"/>
            </w:pPr>
            <w:r>
              <w:rPr>
                <w:sz w:val="24"/>
              </w:rPr>
              <w:t>（</w:t>
            </w:r>
            <w:r>
              <w:rPr>
                <w:sz w:val="24"/>
              </w:rPr>
              <w:t>3）保洁工具使用完毕应整齐存放在不显眼的位置或存放在工具房（箱）内；不得将保洁工具放在便器、洗手盆或楼梯。</w:t>
            </w:r>
          </w:p>
          <w:p>
            <w:pPr>
              <w:ind w:firstLine="480"/>
              <w:jc w:val="both"/>
            </w:pPr>
            <w:r>
              <w:rPr>
                <w:sz w:val="24"/>
              </w:rPr>
              <w:t>（</w:t>
            </w:r>
            <w:r>
              <w:rPr>
                <w:sz w:val="24"/>
              </w:rPr>
              <w:t>4）供洗手用的水龙头不得占用于保洁作业；管理人员工作室保持整洁美观。</w:t>
            </w:r>
          </w:p>
          <w:p>
            <w:pPr>
              <w:ind w:firstLine="480"/>
              <w:jc w:val="both"/>
            </w:pPr>
            <w:r>
              <w:rPr>
                <w:sz w:val="24"/>
              </w:rPr>
              <w:t>（</w:t>
            </w:r>
            <w:r>
              <w:rPr>
                <w:sz w:val="24"/>
              </w:rPr>
              <w:t>5）公厕内及周围杜绝乱张贴、乱搭建、乱悬挂、乱堆放现象。</w:t>
            </w:r>
          </w:p>
          <w:p>
            <w:pPr>
              <w:ind w:firstLine="480"/>
              <w:jc w:val="both"/>
            </w:pPr>
            <w:r>
              <w:rPr>
                <w:sz w:val="24"/>
              </w:rPr>
              <w:t>（</w:t>
            </w:r>
            <w:r>
              <w:rPr>
                <w:sz w:val="24"/>
              </w:rPr>
              <w:t>6）不得以任何理由占用残疾人公厕，或在残疾人公厕内堆放杂物给残疾人入厕带来不便。</w:t>
            </w:r>
          </w:p>
          <w:p>
            <w:pPr>
              <w:ind w:firstLine="482"/>
              <w:jc w:val="both"/>
            </w:pPr>
            <w:r>
              <w:rPr>
                <w:b/>
                <w:sz w:val="24"/>
              </w:rPr>
              <w:t>四、</w:t>
            </w:r>
            <w:r>
              <w:rPr>
                <w:b/>
                <w:sz w:val="24"/>
              </w:rPr>
              <w:t>基本要求</w:t>
            </w:r>
          </w:p>
          <w:p>
            <w:pPr>
              <w:ind w:firstLine="480"/>
              <w:jc w:val="both"/>
            </w:pPr>
            <w:r>
              <w:rPr>
                <w:sz w:val="24"/>
              </w:rPr>
              <w:t>（一）服务要求</w:t>
            </w:r>
          </w:p>
          <w:p>
            <w:pPr>
              <w:ind w:firstLine="480"/>
              <w:jc w:val="both"/>
            </w:pPr>
            <w:r>
              <w:rPr>
                <w:sz w:val="24"/>
              </w:rPr>
              <w:t>1、环卫作业应做到文明有序，最大限度地减少对环境的污染和对社会秩序、公众生活的影响。</w:t>
            </w:r>
          </w:p>
          <w:p>
            <w:pPr>
              <w:ind w:firstLine="480"/>
              <w:jc w:val="both"/>
            </w:pPr>
            <w:r>
              <w:rPr>
                <w:sz w:val="24"/>
              </w:rPr>
              <w:t>2、各类环卫设施，包括转运站（点）、垃圾桶、果皮箱、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ind w:firstLine="480"/>
              <w:jc w:val="both"/>
            </w:pPr>
            <w:r>
              <w:rPr>
                <w:sz w:val="24"/>
              </w:rPr>
              <w:t>3、工作时间必须穿着统一的工作服，工作服上要印上公司名称和投诉电话号码。</w:t>
            </w:r>
          </w:p>
          <w:p>
            <w:pPr>
              <w:ind w:firstLine="480"/>
              <w:jc w:val="both"/>
            </w:pPr>
            <w:r>
              <w:rPr>
                <w:sz w:val="24"/>
              </w:rPr>
              <w:t>4、应关心员工生活，确保员工待遇，加强员工培训，维护员工尊严。尽可能实施机械作业，减轻劳动负荷。</w:t>
            </w:r>
          </w:p>
          <w:p>
            <w:pPr>
              <w:ind w:firstLine="480"/>
              <w:jc w:val="both"/>
            </w:pPr>
            <w:r>
              <w:rPr>
                <w:sz w:val="24"/>
              </w:rPr>
              <w:t>（二）服务安全</w:t>
            </w:r>
          </w:p>
          <w:p>
            <w:pPr>
              <w:ind w:firstLine="480"/>
              <w:jc w:val="both"/>
            </w:pPr>
            <w:r>
              <w:rPr>
                <w:sz w:val="24"/>
              </w:rPr>
              <w:t>1、 供应商应建立健全安全生产管理制度，落实安全生产责任人，切实执行安全生产规程，服务期间出现的安全事故一概由供应商承担，与采购人无关。</w:t>
            </w:r>
          </w:p>
          <w:p>
            <w:pPr>
              <w:ind w:firstLine="480"/>
              <w:jc w:val="both"/>
            </w:pPr>
            <w:r>
              <w:rPr>
                <w:sz w:val="24"/>
              </w:rPr>
              <w:t>2、道路作业应合理安排作业时间和方式，清扫机动车道、绿化带、分隔栏时要设置醒目的警示标志，同时做好安全防护工作；道路大面积污染需要集中清扫时，需联系交警部门的配合。</w:t>
            </w:r>
          </w:p>
          <w:p>
            <w:pPr>
              <w:ind w:firstLine="480"/>
              <w:jc w:val="both"/>
            </w:pPr>
            <w:r>
              <w:rPr>
                <w:sz w:val="24"/>
              </w:rPr>
              <w:t>3、道路作业时，工作服装应具有规范、标准的反光警示标志。</w:t>
            </w:r>
          </w:p>
          <w:p>
            <w:pPr>
              <w:ind w:firstLine="480"/>
              <w:jc w:val="both"/>
            </w:pPr>
            <w:r>
              <w:rPr>
                <w:sz w:val="24"/>
              </w:rPr>
              <w:t>4、环卫作业车辆驾驶员必须持证上岗并遵守交通规则，礼让行车，注意行人的安全，不得违章停放，不得超限行车。</w:t>
            </w:r>
          </w:p>
          <w:p>
            <w:pPr>
              <w:ind w:firstLine="480"/>
              <w:jc w:val="both"/>
            </w:pPr>
            <w:r>
              <w:rPr>
                <w:sz w:val="24"/>
              </w:rPr>
              <w:t>（三）应急管理</w:t>
            </w:r>
          </w:p>
          <w:p>
            <w:pPr>
              <w:ind w:firstLine="480"/>
              <w:jc w:val="both"/>
            </w:pPr>
            <w:r>
              <w:rPr>
                <w:sz w:val="24"/>
              </w:rPr>
              <w:t>1、供应商必须制定突发事件应急预案，并定期组织演练。</w:t>
            </w:r>
          </w:p>
          <w:p>
            <w:pPr>
              <w:ind w:firstLine="480"/>
              <w:jc w:val="both"/>
            </w:pPr>
            <w:r>
              <w:rPr>
                <w:sz w:val="24"/>
              </w:rPr>
              <w:t>2、出现涉及环卫作业的突发事件时，供应商必须立即组织力量处置，并服从采购人的统一调度，协助处置。</w:t>
            </w:r>
          </w:p>
          <w:p>
            <w:pPr>
              <w:ind w:firstLine="480"/>
              <w:jc w:val="both"/>
            </w:pPr>
            <w:r>
              <w:rPr>
                <w:sz w:val="24"/>
              </w:rPr>
              <w:t>3、供应商有责任配合采购人接受上级部门的监督、检查，并提供必须的材料。遇有上级检查及大型活动等需要突击加班的，必须无条件服从安排。</w:t>
            </w:r>
          </w:p>
          <w:p>
            <w:pPr>
              <w:ind w:firstLine="480"/>
              <w:jc w:val="both"/>
            </w:pPr>
            <w:r>
              <w:rPr>
                <w:sz w:val="24"/>
              </w:rPr>
              <w:t>4、供应商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ind w:firstLine="480"/>
              <w:jc w:val="both"/>
            </w:pPr>
            <w:r>
              <w:rPr>
                <w:sz w:val="24"/>
              </w:rPr>
              <w:t>（四）人员、设备、作业车辆要求</w:t>
            </w:r>
          </w:p>
          <w:p>
            <w:pPr>
              <w:ind w:firstLine="480"/>
              <w:jc w:val="both"/>
            </w:pPr>
            <w:r>
              <w:rPr>
                <w:sz w:val="24"/>
              </w:rPr>
              <w:t>1、 供应商须在合同签订后5天内，向采购人提交《项目措施计划书》，计划书内必须包含辖区内道路、垃圾转运和转运站（点）管理人员安排表（项目的法人或项目经理应在当地随时处理相关问题），计划书中涉及的作业人数、作业次数等标准不得低于投标承诺的有关标准。供应商必须按经采购人确认后的《项目措施计划书》进行保洁管理和垃圾转运。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ind w:firstLine="480"/>
              <w:jc w:val="both"/>
            </w:pPr>
            <w:r>
              <w:rPr>
                <w:sz w:val="24"/>
              </w:rPr>
              <w:t>2、供应商每半年应将服务人员所有管理及培训资料交一份给采购人，如有需要必须随时提供。</w:t>
            </w:r>
          </w:p>
          <w:p>
            <w:pPr>
              <w:ind w:firstLine="480"/>
              <w:jc w:val="both"/>
            </w:pPr>
            <w:r>
              <w:rPr>
                <w:sz w:val="24"/>
              </w:rPr>
              <w:t>3、作业车辆[包括高压清洗车1辆、扫路车1辆、三轮保洁车一批、其他保洁工具一批、垃圾转运车辆2辆等]仅限于服务本项目，供应商应做好日常车辆保养及维修工作，保持外观清洁、干净；车容整洁，车况良好，车身喷印清晰的供应商名称、监督单位名称及投诉电话号码。若出现设备故障，供应商必须及时解决或者提供备用设备，以保证服务质量。</w:t>
            </w:r>
          </w:p>
          <w:p>
            <w:pPr>
              <w:ind w:firstLine="480"/>
              <w:jc w:val="both"/>
            </w:pPr>
            <w:r>
              <w:rPr>
                <w:sz w:val="24"/>
              </w:rPr>
              <w:t>4、垃圾收集及清运必须做到垃圾直接进入垃圾收集容器或保洁车，做好覆盖保证垃圾不落地、不洒漏，防止垃圾的二次污染。</w:t>
            </w:r>
          </w:p>
          <w:p>
            <w:pPr>
              <w:ind w:firstLine="480"/>
              <w:jc w:val="both"/>
            </w:pPr>
            <w:r>
              <w:rPr>
                <w:sz w:val="24"/>
              </w:rPr>
              <w:t>5、果皮箱和垃圾收集容器由供应商负责管护。</w:t>
            </w:r>
          </w:p>
          <w:p>
            <w:pPr>
              <w:ind w:firstLine="480"/>
              <w:jc w:val="both"/>
            </w:pPr>
            <w:r>
              <w:rPr>
                <w:sz w:val="24"/>
              </w:rPr>
              <w:t>（五）其他</w:t>
            </w:r>
          </w:p>
          <w:p>
            <w:pPr>
              <w:ind w:firstLine="480"/>
              <w:jc w:val="both"/>
            </w:pPr>
            <w:r>
              <w:rPr>
                <w:sz w:val="24"/>
              </w:rPr>
              <w:t>供应商不得收取居民住户、沿路商铺、市场、机关、企事业单位、工厂等单位的环境卫生服务费，该款项已计入服务承包费用；供应商须与沿街店铺签订</w:t>
            </w:r>
            <w:r>
              <w:rPr>
                <w:sz w:val="24"/>
              </w:rPr>
              <w:t>“门前三包”责任书，有组织“门前三包”检查详细记录。</w:t>
            </w:r>
          </w:p>
          <w:p>
            <w:pPr>
              <w:ind w:firstLine="480"/>
              <w:jc w:val="both"/>
            </w:pPr>
            <w:r>
              <w:rPr>
                <w:sz w:val="24"/>
              </w:rPr>
              <w:t>（六）保洁质量标准和作业规定如有不一致之处，则以下列次序在先者为准：</w:t>
            </w:r>
          </w:p>
          <w:p>
            <w:pPr>
              <w:ind w:firstLine="480"/>
              <w:jc w:val="both"/>
            </w:pPr>
            <w:r>
              <w:rPr>
                <w:sz w:val="24"/>
              </w:rPr>
              <w:t>1、本项目《政府采购合同书》；</w:t>
            </w:r>
          </w:p>
          <w:p>
            <w:pPr>
              <w:ind w:firstLine="480"/>
              <w:jc w:val="both"/>
            </w:pPr>
            <w:r>
              <w:rPr>
                <w:sz w:val="24"/>
              </w:rPr>
              <w:t>2、《汕头市城市环境卫生质量标准》；</w:t>
            </w:r>
          </w:p>
          <w:p>
            <w:pPr>
              <w:ind w:firstLine="480"/>
              <w:jc w:val="both"/>
            </w:pPr>
            <w:r>
              <w:rPr>
                <w:sz w:val="24"/>
              </w:rPr>
              <w:t>3、《汕头市城市市容环境卫生管理条例》；</w:t>
            </w:r>
          </w:p>
          <w:p>
            <w:pPr>
              <w:ind w:firstLine="480"/>
              <w:jc w:val="both"/>
            </w:pPr>
            <w:r>
              <w:rPr>
                <w:sz w:val="24"/>
              </w:rPr>
              <w:t>4、国家或行业相关标准。</w:t>
            </w:r>
          </w:p>
          <w:p>
            <w:pPr>
              <w:ind w:firstLine="480"/>
              <w:jc w:val="both"/>
            </w:pPr>
            <w:r>
              <w:rPr>
                <w:sz w:val="24"/>
              </w:rPr>
              <w:t>（七）采购人可依据工作需要，要求成交供应商及时汇报进展情况和工作成果。</w:t>
            </w:r>
          </w:p>
          <w:p>
            <w:pPr>
              <w:ind w:firstLine="482"/>
              <w:jc w:val="both"/>
            </w:pPr>
            <w:r>
              <w:rPr>
                <w:b/>
                <w:sz w:val="24"/>
              </w:rPr>
              <w:t>五、</w:t>
            </w:r>
            <w:r>
              <w:rPr>
                <w:b/>
                <w:sz w:val="24"/>
              </w:rPr>
              <w:t>项目办公场所、设施及维护要求</w:t>
            </w:r>
          </w:p>
          <w:p>
            <w:pPr>
              <w:ind w:firstLine="480"/>
              <w:jc w:val="both"/>
            </w:pPr>
            <w:r>
              <w:rPr>
                <w:sz w:val="24"/>
              </w:rPr>
              <w:t>（</w:t>
            </w:r>
            <w:r>
              <w:rPr>
                <w:sz w:val="24"/>
              </w:rPr>
              <w:t>1）总体要求</w:t>
            </w:r>
          </w:p>
          <w:p>
            <w:pPr>
              <w:ind w:firstLine="480"/>
              <w:jc w:val="both"/>
            </w:pPr>
            <w:r>
              <w:rPr>
                <w:sz w:val="24"/>
              </w:rPr>
              <w:t>供应商必须具有履行合同保障能力，车辆、机具及人员配备能满足承担本项目的作业要求，且能通过项目所在地城市管理和综合执法部门办理从事城市生活垃圾经营性清扫、收集、运输服务的审批许可（若有要求须办理）。</w:t>
            </w:r>
          </w:p>
          <w:p>
            <w:pPr>
              <w:ind w:firstLine="480"/>
              <w:jc w:val="both"/>
            </w:pPr>
            <w:r>
              <w:rPr>
                <w:sz w:val="24"/>
              </w:rPr>
              <w:t>（</w:t>
            </w:r>
            <w:r>
              <w:rPr>
                <w:sz w:val="24"/>
              </w:rPr>
              <w:t>2）固定办公场所、停放工具（包括车辆）场地、建筑废弃土、大宗废旧物品临时处理场地面积。</w:t>
            </w:r>
          </w:p>
          <w:p>
            <w:pPr>
              <w:ind w:firstLine="480"/>
              <w:jc w:val="both"/>
            </w:pPr>
            <w:r>
              <w:rPr>
                <w:sz w:val="24"/>
              </w:rPr>
              <w:t>成交供应商须在合同签订前在项目所在地设置有固定办公场所及停放工具（包括车辆）场地。</w:t>
            </w:r>
          </w:p>
          <w:p>
            <w:pPr>
              <w:ind w:firstLine="480"/>
              <w:jc w:val="both"/>
            </w:pPr>
            <w:r>
              <w:rPr>
                <w:sz w:val="24"/>
              </w:rPr>
              <w:t>（</w:t>
            </w:r>
            <w:r>
              <w:rPr>
                <w:sz w:val="24"/>
              </w:rPr>
              <w:t>3）项目设备配置至少包括：</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830"/>
              <w:gridCol w:w="2003"/>
              <w:gridCol w:w="1407"/>
              <w:gridCol w:w="830"/>
            </w:tblGrid>
            <w:tr>
              <w:tc>
                <w:tcPr>
                  <w:tcW w:type="dxa" w:w="528"/>
                  <w:tcBorders>
                    <w:top w:val="single" w:color="000000" w:sz="4"/>
                    <w:left w:val="single" w:color="000000" w:sz="4"/>
                    <w:bottom w:val="single" w:color="000000" w:sz="4"/>
                    <w:right w:val="single" w:color="000000" w:sz="4"/>
                  </w:tcBorders>
                  <w:vAlign w:val="top"/>
                </w:tcPr>
                <w:p>
                  <w:pPr>
                    <w:jc w:val="both"/>
                  </w:pPr>
                  <w:r>
                    <w:rPr>
                      <w:sz w:val="24"/>
                    </w:rPr>
                    <w:t>序号</w:t>
                  </w:r>
                </w:p>
              </w:tc>
              <w:tc>
                <w:tcPr>
                  <w:tcW w:type="dxa" w:w="830"/>
                  <w:tcBorders>
                    <w:top w:val="single" w:color="000000" w:sz="4"/>
                    <w:left w:val="single" w:color="000000" w:sz="4"/>
                    <w:bottom w:val="single" w:color="000000" w:sz="4"/>
                    <w:right w:val="single" w:color="000000" w:sz="4"/>
                  </w:tcBorders>
                  <w:vAlign w:val="top"/>
                </w:tcPr>
                <w:p>
                  <w:pPr>
                    <w:jc w:val="both"/>
                  </w:pPr>
                  <w:r>
                    <w:rPr>
                      <w:sz w:val="24"/>
                    </w:rPr>
                    <w:t>项目</w:t>
                  </w:r>
                </w:p>
              </w:tc>
              <w:tc>
                <w:tcPr>
                  <w:tcW w:type="dxa" w:w="2003"/>
                  <w:tcBorders>
                    <w:top w:val="single" w:color="000000" w:sz="4"/>
                    <w:left w:val="single" w:color="000000" w:sz="4"/>
                    <w:bottom w:val="single" w:color="000000" w:sz="4"/>
                    <w:right w:val="single" w:color="000000" w:sz="4"/>
                  </w:tcBorders>
                  <w:vAlign w:val="top"/>
                </w:tcPr>
                <w:p>
                  <w:pPr>
                    <w:jc w:val="both"/>
                  </w:pPr>
                  <w:r>
                    <w:rPr>
                      <w:sz w:val="24"/>
                    </w:rPr>
                    <w:t>设备名称</w:t>
                  </w:r>
                </w:p>
              </w:tc>
              <w:tc>
                <w:tcPr>
                  <w:tcW w:type="dxa" w:w="1407"/>
                  <w:tcBorders>
                    <w:top w:val="single" w:color="000000" w:sz="4"/>
                    <w:left w:val="single" w:color="000000" w:sz="4"/>
                    <w:bottom w:val="single" w:color="000000" w:sz="4"/>
                    <w:right w:val="single" w:color="000000" w:sz="4"/>
                  </w:tcBorders>
                  <w:vAlign w:val="top"/>
                </w:tcPr>
                <w:p>
                  <w:pPr>
                    <w:jc w:val="both"/>
                  </w:pPr>
                  <w:r>
                    <w:rPr>
                      <w:sz w:val="24"/>
                    </w:rPr>
                    <w:t>数量</w:t>
                  </w:r>
                </w:p>
              </w:tc>
              <w:tc>
                <w:tcPr>
                  <w:tcW w:type="dxa" w:w="830"/>
                  <w:tcBorders>
                    <w:top w:val="single" w:color="000000" w:sz="4"/>
                    <w:left w:val="single" w:color="000000" w:sz="4"/>
                    <w:bottom w:val="single" w:color="000000" w:sz="4"/>
                    <w:right w:val="single" w:color="000000" w:sz="4"/>
                  </w:tcBorders>
                  <w:vAlign w:val="top"/>
                </w:tcPr>
                <w:p>
                  <w:pPr>
                    <w:jc w:val="both"/>
                  </w:pPr>
                  <w:r>
                    <w:rPr>
                      <w:sz w:val="24"/>
                    </w:rPr>
                    <w:t>备注</w:t>
                  </w:r>
                </w:p>
              </w:tc>
            </w:tr>
            <w:tr>
              <w:tc>
                <w:tcPr>
                  <w:tcW w:type="dxa" w:w="528"/>
                  <w:tcBorders>
                    <w:top w:val="none" w:color="000000" w:sz="4"/>
                    <w:left w:val="single" w:color="000000" w:sz="4"/>
                    <w:bottom w:val="single" w:color="000000" w:sz="4"/>
                    <w:right w:val="single" w:color="000000" w:sz="4"/>
                  </w:tcBorders>
                  <w:vAlign w:val="top"/>
                </w:tcPr>
                <w:p>
                  <w:pPr>
                    <w:jc w:val="both"/>
                  </w:pPr>
                  <w:r>
                    <w:rPr>
                      <w:sz w:val="24"/>
                    </w:rPr>
                    <w:t>1</w:t>
                  </w:r>
                </w:p>
              </w:tc>
              <w:tc>
                <w:tcPr>
                  <w:tcW w:type="dxa" w:w="830"/>
                  <w:vMerge w:val="restart"/>
                  <w:tcBorders>
                    <w:top w:val="none" w:color="000000" w:sz="4"/>
                    <w:left w:val="single" w:color="000000" w:sz="4"/>
                    <w:bottom w:val="single" w:color="000000" w:sz="4"/>
                    <w:right w:val="single" w:color="000000" w:sz="4"/>
                  </w:tcBorders>
                  <w:vAlign w:val="top"/>
                </w:tcPr>
                <w:p>
                  <w:pPr>
                    <w:jc w:val="both"/>
                  </w:pPr>
                  <w:r>
                    <w:rPr>
                      <w:sz w:val="24"/>
                    </w:rPr>
                    <w:t>道路清</w:t>
                  </w:r>
                </w:p>
                <w:p>
                  <w:pPr>
                    <w:jc w:val="both"/>
                  </w:pPr>
                  <w:r>
                    <w:rPr>
                      <w:sz w:val="24"/>
                    </w:rPr>
                    <w:t>扫保洁</w:t>
                  </w:r>
                </w:p>
              </w:tc>
              <w:tc>
                <w:tcPr>
                  <w:tcW w:type="dxa" w:w="2003"/>
                  <w:tcBorders>
                    <w:top w:val="none" w:color="000000" w:sz="4"/>
                    <w:left w:val="single" w:color="000000" w:sz="4"/>
                    <w:bottom w:val="single" w:color="000000" w:sz="4"/>
                    <w:right w:val="single" w:color="000000" w:sz="4"/>
                  </w:tcBorders>
                  <w:vAlign w:val="top"/>
                </w:tcPr>
                <w:p>
                  <w:pPr>
                    <w:jc w:val="both"/>
                  </w:pPr>
                  <w:r>
                    <w:rPr>
                      <w:sz w:val="24"/>
                    </w:rPr>
                    <w:t>高压清洗车</w:t>
                  </w:r>
                </w:p>
              </w:tc>
              <w:tc>
                <w:tcPr>
                  <w:tcW w:type="dxa" w:w="1407"/>
                  <w:tcBorders>
                    <w:top w:val="none" w:color="000000" w:sz="4"/>
                    <w:left w:val="single" w:color="000000" w:sz="4"/>
                    <w:bottom w:val="single" w:color="000000" w:sz="4"/>
                    <w:right w:val="single" w:color="000000" w:sz="4"/>
                  </w:tcBorders>
                  <w:vAlign w:val="top"/>
                </w:tcPr>
                <w:p>
                  <w:pPr>
                    <w:jc w:val="both"/>
                  </w:pPr>
                  <w:r>
                    <w:rPr>
                      <w:sz w:val="24"/>
                    </w:rPr>
                    <w:t>1台</w:t>
                  </w:r>
                </w:p>
              </w:tc>
              <w:tc>
                <w:tcPr>
                  <w:tcW w:type="dxa" w:w="830"/>
                  <w:tcBorders>
                    <w:top w:val="none" w:color="000000" w:sz="4"/>
                    <w:left w:val="single" w:color="000000" w:sz="4"/>
                    <w:bottom w:val="single" w:color="000000" w:sz="4"/>
                    <w:right w:val="single" w:color="000000" w:sz="4"/>
                  </w:tcBorders>
                  <w:vAlign w:val="top"/>
                </w:tcPr>
                <w:p>
                  <w:pPr>
                    <w:jc w:val="both"/>
                  </w:pPr>
                  <w:r>
                    <w:rPr>
                      <w:sz w:val="24"/>
                    </w:rPr>
                    <w:t>可租赁</w:t>
                  </w:r>
                </w:p>
              </w:tc>
            </w:tr>
            <w:tr>
              <w:tc>
                <w:tcPr>
                  <w:tcW w:type="dxa" w:w="528"/>
                  <w:tcBorders>
                    <w:top w:val="none" w:color="000000" w:sz="4"/>
                    <w:left w:val="single" w:color="000000" w:sz="4"/>
                    <w:bottom w:val="single" w:color="000000" w:sz="4"/>
                    <w:right w:val="single" w:color="000000" w:sz="4"/>
                  </w:tcBorders>
                  <w:vAlign w:val="top"/>
                </w:tcPr>
                <w:p>
                  <w:pPr>
                    <w:jc w:val="both"/>
                  </w:pPr>
                  <w:r>
                    <w:rPr>
                      <w:sz w:val="24"/>
                    </w:rPr>
                    <w:t>2</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vAlign w:val="top"/>
                </w:tcPr>
                <w:p>
                  <w:pPr>
                    <w:jc w:val="both"/>
                  </w:pPr>
                  <w:r>
                    <w:rPr>
                      <w:sz w:val="24"/>
                    </w:rPr>
                    <w:t>扫路车</w:t>
                  </w:r>
                </w:p>
              </w:tc>
              <w:tc>
                <w:tcPr>
                  <w:tcW w:type="dxa" w:w="1407"/>
                  <w:tcBorders>
                    <w:top w:val="none" w:color="000000" w:sz="4"/>
                    <w:left w:val="single" w:color="000000" w:sz="4"/>
                    <w:bottom w:val="single" w:color="000000" w:sz="4"/>
                    <w:right w:val="single" w:color="000000" w:sz="4"/>
                  </w:tcBorders>
                  <w:vAlign w:val="top"/>
                </w:tcPr>
                <w:p>
                  <w:pPr>
                    <w:jc w:val="both"/>
                  </w:pPr>
                  <w:r>
                    <w:rPr>
                      <w:sz w:val="24"/>
                    </w:rPr>
                    <w:t>1台</w:t>
                  </w:r>
                </w:p>
              </w:tc>
              <w:tc>
                <w:tcPr>
                  <w:tcW w:type="dxa" w:w="830"/>
                  <w:tcBorders>
                    <w:top w:val="none" w:color="000000" w:sz="4"/>
                    <w:left w:val="single" w:color="000000" w:sz="4"/>
                    <w:bottom w:val="single" w:color="000000" w:sz="4"/>
                    <w:right w:val="single" w:color="000000" w:sz="4"/>
                  </w:tcBorders>
                  <w:vAlign w:val="top"/>
                </w:tcPr>
                <w:p>
                  <w:pPr>
                    <w:jc w:val="both"/>
                  </w:pPr>
                  <w:r>
                    <w:rPr>
                      <w:sz w:val="24"/>
                    </w:rPr>
                    <w:t>可租赁</w:t>
                  </w:r>
                </w:p>
              </w:tc>
            </w:tr>
            <w:tr>
              <w:tc>
                <w:tcPr>
                  <w:tcW w:type="dxa" w:w="528"/>
                  <w:tcBorders>
                    <w:top w:val="none" w:color="000000" w:sz="4"/>
                    <w:left w:val="single" w:color="000000" w:sz="4"/>
                    <w:bottom w:val="single" w:color="000000" w:sz="4"/>
                    <w:right w:val="single" w:color="000000" w:sz="4"/>
                  </w:tcBorders>
                  <w:vAlign w:val="top"/>
                </w:tcPr>
                <w:p>
                  <w:pPr>
                    <w:jc w:val="both"/>
                  </w:pPr>
                  <w:r>
                    <w:rPr>
                      <w:sz w:val="24"/>
                    </w:rPr>
                    <w:t>3</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vAlign w:val="top"/>
                </w:tcPr>
                <w:p>
                  <w:pPr>
                    <w:jc w:val="both"/>
                  </w:pPr>
                  <w:r>
                    <w:rPr>
                      <w:sz w:val="24"/>
                    </w:rPr>
                    <w:t>三轮保洁车</w:t>
                  </w:r>
                </w:p>
              </w:tc>
              <w:tc>
                <w:tcPr>
                  <w:tcW w:type="dxa" w:w="1407"/>
                  <w:tcBorders>
                    <w:top w:val="none" w:color="000000" w:sz="4"/>
                    <w:left w:val="single" w:color="000000" w:sz="4"/>
                    <w:bottom w:val="single" w:color="000000" w:sz="4"/>
                    <w:right w:val="single" w:color="000000" w:sz="4"/>
                  </w:tcBorders>
                  <w:vAlign w:val="top"/>
                </w:tcPr>
                <w:p>
                  <w:pPr>
                    <w:jc w:val="both"/>
                  </w:pPr>
                  <w:r>
                    <w:rPr>
                      <w:sz w:val="24"/>
                    </w:rPr>
                    <w:t>保洁人员每人一部</w:t>
                  </w:r>
                </w:p>
              </w:tc>
              <w:tc>
                <w:tcPr>
                  <w:tcW w:type="dxa" w:w="830"/>
                  <w:tcBorders>
                    <w:top w:val="none" w:color="000000" w:sz="4"/>
                    <w:left w:val="single" w:color="000000" w:sz="4"/>
                    <w:bottom w:val="single" w:color="000000" w:sz="4"/>
                    <w:right w:val="single" w:color="000000" w:sz="4"/>
                  </w:tcBorders>
                  <w:vAlign w:val="top"/>
                </w:tcPr>
                <w:p>
                  <w:pPr>
                    <w:jc w:val="both"/>
                  </w:pPr>
                  <w:r>
                    <w:rPr>
                      <w:sz w:val="24"/>
                    </w:rPr>
                    <w:t>自有</w:t>
                  </w:r>
                </w:p>
              </w:tc>
            </w:tr>
            <w:tr>
              <w:tc>
                <w:tcPr>
                  <w:tcW w:type="dxa" w:w="528"/>
                  <w:tcBorders>
                    <w:top w:val="none" w:color="000000" w:sz="4"/>
                    <w:left w:val="single" w:color="000000" w:sz="4"/>
                    <w:bottom w:val="single" w:color="000000" w:sz="4"/>
                    <w:right w:val="single" w:color="000000" w:sz="4"/>
                  </w:tcBorders>
                  <w:vAlign w:val="top"/>
                </w:tcPr>
                <w:p>
                  <w:pPr>
                    <w:jc w:val="both"/>
                  </w:pPr>
                  <w:r>
                    <w:rPr>
                      <w:sz w:val="24"/>
                    </w:rPr>
                    <w:t>4</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vAlign w:val="top"/>
                </w:tcPr>
                <w:p>
                  <w:pPr>
                    <w:jc w:val="both"/>
                  </w:pPr>
                  <w:r>
                    <w:rPr>
                      <w:sz w:val="24"/>
                    </w:rPr>
                    <w:t>其他保洁工具</w:t>
                  </w:r>
                </w:p>
              </w:tc>
              <w:tc>
                <w:tcPr>
                  <w:tcW w:type="dxa" w:w="1407"/>
                  <w:tcBorders>
                    <w:top w:val="none" w:color="000000" w:sz="4"/>
                    <w:left w:val="single" w:color="000000" w:sz="4"/>
                    <w:bottom w:val="single" w:color="000000" w:sz="4"/>
                    <w:right w:val="single" w:color="000000" w:sz="4"/>
                  </w:tcBorders>
                  <w:vAlign w:val="top"/>
                </w:tcPr>
                <w:p>
                  <w:pPr>
                    <w:jc w:val="both"/>
                  </w:pPr>
                  <w:r>
                    <w:rPr>
                      <w:sz w:val="24"/>
                    </w:rPr>
                    <w:t>保洁人员每人一套</w:t>
                  </w:r>
                </w:p>
              </w:tc>
              <w:tc>
                <w:tcPr>
                  <w:tcW w:type="dxa" w:w="830"/>
                  <w:tcBorders>
                    <w:top w:val="none" w:color="000000" w:sz="4"/>
                    <w:left w:val="single" w:color="000000" w:sz="4"/>
                    <w:bottom w:val="single" w:color="000000" w:sz="4"/>
                    <w:right w:val="single" w:color="000000" w:sz="4"/>
                  </w:tcBorders>
                  <w:vAlign w:val="top"/>
                </w:tcPr>
                <w:p>
                  <w:pPr>
                    <w:jc w:val="both"/>
                  </w:pPr>
                  <w:r>
                    <w:rPr>
                      <w:sz w:val="24"/>
                    </w:rPr>
                    <w:t>自有</w:t>
                  </w:r>
                </w:p>
              </w:tc>
            </w:tr>
            <w:tr>
              <w:tc>
                <w:tcPr>
                  <w:tcW w:type="dxa" w:w="528"/>
                  <w:tcBorders>
                    <w:top w:val="none" w:color="000000" w:sz="4"/>
                    <w:left w:val="single" w:color="000000" w:sz="4"/>
                    <w:bottom w:val="single" w:color="000000" w:sz="4"/>
                    <w:right w:val="single" w:color="000000" w:sz="4"/>
                  </w:tcBorders>
                  <w:vAlign w:val="top"/>
                </w:tcPr>
                <w:p>
                  <w:pPr>
                    <w:jc w:val="both"/>
                  </w:pPr>
                  <w:r>
                    <w:rPr>
                      <w:sz w:val="24"/>
                    </w:rPr>
                    <w:t>5</w:t>
                  </w:r>
                </w:p>
              </w:tc>
              <w:tc>
                <w:tcPr>
                  <w:tcW w:type="dxa" w:w="830"/>
                  <w:tcBorders>
                    <w:top w:val="none" w:color="000000" w:sz="4"/>
                    <w:left w:val="single" w:color="000000" w:sz="4"/>
                    <w:bottom w:val="single" w:color="000000" w:sz="4"/>
                    <w:right w:val="single" w:color="000000" w:sz="4"/>
                  </w:tcBorders>
                  <w:vAlign w:val="top"/>
                </w:tcPr>
                <w:p>
                  <w:pPr>
                    <w:jc w:val="both"/>
                  </w:pPr>
                  <w:r>
                    <w:rPr>
                      <w:sz w:val="24"/>
                    </w:rPr>
                    <w:t>垃圾转运</w:t>
                  </w:r>
                </w:p>
              </w:tc>
              <w:tc>
                <w:tcPr>
                  <w:tcW w:type="dxa" w:w="2003"/>
                  <w:tcBorders>
                    <w:top w:val="none" w:color="000000" w:sz="4"/>
                    <w:left w:val="single" w:color="000000" w:sz="4"/>
                    <w:bottom w:val="single" w:color="000000" w:sz="4"/>
                    <w:right w:val="single" w:color="000000" w:sz="4"/>
                  </w:tcBorders>
                  <w:vAlign w:val="top"/>
                </w:tcPr>
                <w:p>
                  <w:pPr>
                    <w:jc w:val="both"/>
                  </w:pPr>
                  <w:r>
                    <w:rPr>
                      <w:sz w:val="24"/>
                    </w:rPr>
                    <w:t>垃圾转运车辆</w:t>
                  </w:r>
                </w:p>
              </w:tc>
              <w:tc>
                <w:tcPr>
                  <w:tcW w:type="dxa" w:w="1407"/>
                  <w:tcBorders>
                    <w:top w:val="none" w:color="000000" w:sz="4"/>
                    <w:left w:val="single" w:color="000000" w:sz="4"/>
                    <w:bottom w:val="single" w:color="000000" w:sz="4"/>
                    <w:right w:val="single" w:color="000000" w:sz="4"/>
                  </w:tcBorders>
                  <w:vAlign w:val="top"/>
                </w:tcPr>
                <w:p>
                  <w:pPr>
                    <w:jc w:val="both"/>
                  </w:pPr>
                  <w:r>
                    <w:rPr>
                      <w:sz w:val="24"/>
                    </w:rPr>
                    <w:t>2台</w:t>
                  </w:r>
                </w:p>
              </w:tc>
              <w:tc>
                <w:tcPr>
                  <w:tcW w:type="dxa" w:w="830"/>
                  <w:tcBorders>
                    <w:top w:val="none" w:color="000000" w:sz="4"/>
                    <w:left w:val="single" w:color="000000" w:sz="4"/>
                    <w:bottom w:val="single" w:color="000000" w:sz="4"/>
                    <w:right w:val="single" w:color="000000" w:sz="4"/>
                  </w:tcBorders>
                  <w:vAlign w:val="top"/>
                </w:tcPr>
                <w:p>
                  <w:pPr>
                    <w:jc w:val="both"/>
                  </w:pPr>
                  <w:r>
                    <w:rPr>
                      <w:sz w:val="24"/>
                    </w:rPr>
                    <w:t>可租赁</w:t>
                  </w:r>
                </w:p>
              </w:tc>
            </w:tr>
            <w:tr>
              <w:tc>
                <w:tcPr>
                  <w:tcW w:type="dxa" w:w="5598"/>
                  <w:gridSpan w:val="5"/>
                  <w:tcBorders>
                    <w:top w:val="none" w:color="000000" w:sz="4"/>
                    <w:left w:val="single" w:color="000000" w:sz="4"/>
                    <w:bottom w:val="single" w:color="000000" w:sz="4"/>
                    <w:right w:val="single" w:color="000000" w:sz="4"/>
                  </w:tcBorders>
                  <w:vAlign w:val="top"/>
                </w:tcPr>
                <w:p>
                  <w:pPr>
                    <w:jc w:val="both"/>
                  </w:pPr>
                  <w:r>
                    <w:rPr>
                      <w:sz w:val="24"/>
                    </w:rPr>
                    <w:t>备注：如是自有车辆，行驶证单位名称与供应商名称一致；如是租赁，行驶证单位名称必须与出租方单位名称一致。</w:t>
                  </w:r>
                </w:p>
              </w:tc>
            </w:tr>
          </w:tbl>
          <w:p>
            <w:pPr>
              <w:ind w:firstLine="480"/>
              <w:jc w:val="both"/>
            </w:pPr>
            <w:r>
              <w:rPr>
                <w:sz w:val="24"/>
              </w:rPr>
              <w:t>（</w:t>
            </w:r>
            <w:r>
              <w:rPr>
                <w:sz w:val="24"/>
              </w:rPr>
              <w:t>4）在签订合同后5天内，供应商必须按投标承诺及磋商文件的有关要求把设备及人员安排到位并按合同要求投入正常运作。若供应商未能按时按要求配置设备及人员，逾期五天的，采购人有权扣罚其50％的履约保证金；逾期十天的，采购人有权扣罚其100％的履约保证金并随时终止合同；由此引起的一切责任由成交供应商承担。</w:t>
            </w:r>
          </w:p>
          <w:p>
            <w:pPr>
              <w:ind w:firstLine="482"/>
              <w:jc w:val="both"/>
            </w:pPr>
            <w:r>
              <w:rPr>
                <w:b/>
                <w:sz w:val="24"/>
              </w:rPr>
              <w:t>六、</w:t>
            </w:r>
            <w:r>
              <w:rPr>
                <w:b/>
                <w:sz w:val="24"/>
              </w:rPr>
              <w:t>人员要求与保障</w:t>
            </w:r>
          </w:p>
          <w:p>
            <w:pPr>
              <w:ind w:firstLine="480"/>
              <w:jc w:val="both"/>
            </w:pPr>
            <w:r>
              <w:rPr>
                <w:sz w:val="24"/>
              </w:rPr>
              <w:t>1、作业人员必须服从采购人和市、区监管部门的日常检查、监督和指导。</w:t>
            </w:r>
          </w:p>
          <w:p>
            <w:pPr>
              <w:ind w:firstLine="480"/>
              <w:jc w:val="both"/>
            </w:pPr>
            <w:r>
              <w:rPr>
                <w:sz w:val="24"/>
              </w:rPr>
              <w:t>2、说明：① 成交供应商应根据实际情况增加先进的机械设备，提高自身竞争力。</w:t>
            </w:r>
          </w:p>
          <w:p>
            <w:pPr>
              <w:ind w:firstLine="480"/>
              <w:jc w:val="both"/>
            </w:pPr>
            <w:r>
              <w:rPr>
                <w:sz w:val="24"/>
              </w:rPr>
              <w:t>② 机械设备平时应保养好，确保随时可以正常使用。</w:t>
            </w:r>
          </w:p>
          <w:p>
            <w:pPr>
              <w:ind w:firstLine="480"/>
              <w:jc w:val="both"/>
            </w:pPr>
            <w:r>
              <w:rPr>
                <w:sz w:val="24"/>
              </w:rPr>
              <w:t>③ 供应商配备上述基本设备和人员时需综合考虑设备故障应急、设备折旧、员工轮休等因素。</w:t>
            </w:r>
          </w:p>
          <w:p>
            <w:pPr>
              <w:ind w:firstLine="480"/>
              <w:jc w:val="both"/>
            </w:pPr>
            <w:r>
              <w:rPr>
                <w:sz w:val="24"/>
              </w:rPr>
              <w:t>④ 管理人员必须提供相关专业、学历及就职等证明文件。</w:t>
            </w:r>
          </w:p>
          <w:p>
            <w:pPr>
              <w:ind w:firstLine="480"/>
              <w:jc w:val="both"/>
            </w:pPr>
            <w:r>
              <w:rPr>
                <w:sz w:val="24"/>
              </w:rPr>
              <w:t>⑤ 供应商为本项目服务人员配置安全作业的工具和劳动保护用品。供应商聘请的员工在工作时间必须穿着统一的工作服，工作服上要印上公司名称和投诉电话号码；服务期间，员工伤亡等安全事故一概由供应商承担，与采购人无关。</w:t>
            </w:r>
          </w:p>
          <w:p>
            <w:pPr>
              <w:jc w:val="both"/>
            </w:pPr>
            <w:r>
              <w:rPr>
                <w:sz w:val="24"/>
              </w:rPr>
              <w:t>⑥ 本项目供应商投标报价时，必须考虑机械化和人工保洁质量，同时必须保证用工成本、车辆设备折旧和维护成本。</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汕头市澄海区莱芜经济开发试验区管理委员会</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采购代理合同的收费标准,本次采购向成交供应商收取成交服务费，成交供应商在领取《成交通知书》时应向采购代理机构交纳成交服务费，计人民币贰万元整（20000.00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莱芜岛片区道路及绿化带环卫保洁市场化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采购包1（汕头市澄海区莱芜岛片区道路及绿化带环卫保洁市场化服务项目）：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采购包1（汕头市澄海区莱芜岛片区道路及绿化带环卫保洁市场化服务项目）：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是否接受联合体</w:t>
            </w:r>
          </w:p>
        </w:tc>
        <w:tc>
          <w:tcPr>
            <w:tcW w:type="dxa" w:w="4238"/>
          </w:tcPr>
          <w:p>
            <w:r>
              <w:rPr/>
              <w:t>本采购包不接受联合体磋商。</w:t>
            </w:r>
          </w:p>
        </w:tc>
      </w:tr>
      <w:tr>
        <w:tc>
          <w:tcPr>
            <w:tcW w:type="dxa" w:w="890"/>
          </w:tcPr>
          <w:p>
            <w:r>
              <w:rPr/>
              <w:t>9</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采购包1（汕头市澄海区莱芜岛片区道路及绿化带环卫保洁市场化服务项目）：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投标报价在本项目报价范围内。</w:t>
            </w:r>
          </w:p>
        </w:tc>
      </w:tr>
      <w:tr>
        <w:tc>
          <w:tcPr>
            <w:tcW w:type="dxa" w:w="890"/>
          </w:tcPr>
          <w:p>
            <w:r>
              <w:rPr/>
              <w:t>2</w:t>
            </w:r>
          </w:p>
        </w:tc>
        <w:tc>
          <w:tcPr>
            <w:tcW w:type="dxa" w:w="3178"/>
          </w:tcPr>
          <w:p>
            <w:r>
              <w:rPr/>
              <w:t>盖章</w:t>
            </w:r>
          </w:p>
        </w:tc>
        <w:tc>
          <w:tcPr>
            <w:tcW w:type="dxa" w:w="4238"/>
          </w:tcPr>
          <w:p>
            <w:r>
              <w:rPr/>
              <w:t>磋商文件明示盖公章处有加盖公章。</w:t>
            </w:r>
          </w:p>
        </w:tc>
      </w:tr>
      <w:tr>
        <w:tc>
          <w:tcPr>
            <w:tcW w:type="dxa" w:w="890"/>
          </w:tcPr>
          <w:p>
            <w:r>
              <w:rPr/>
              <w:t>3</w:t>
            </w:r>
          </w:p>
        </w:tc>
        <w:tc>
          <w:tcPr>
            <w:tcW w:type="dxa" w:w="3178"/>
          </w:tcPr>
          <w:p>
            <w:r>
              <w:rPr/>
              <w:t>签字</w:t>
            </w:r>
          </w:p>
        </w:tc>
        <w:tc>
          <w:tcPr>
            <w:tcW w:type="dxa" w:w="4238"/>
          </w:tcPr>
          <w:p>
            <w:r>
              <w:rPr/>
              <w:t>磋商文件明示需签字处有法定代表人或授权代表签字的。</w:t>
            </w:r>
          </w:p>
        </w:tc>
      </w:tr>
      <w:tr>
        <w:tc>
          <w:tcPr>
            <w:tcW w:type="dxa" w:w="890"/>
          </w:tcPr>
          <w:p>
            <w:r>
              <w:rPr/>
              <w:t>4</w:t>
            </w:r>
          </w:p>
        </w:tc>
        <w:tc>
          <w:tcPr>
            <w:tcW w:type="dxa" w:w="3178"/>
          </w:tcPr>
          <w:p>
            <w:r>
              <w:rPr/>
              <w:t>有效期</w:t>
            </w:r>
          </w:p>
        </w:tc>
        <w:tc>
          <w:tcPr>
            <w:tcW w:type="dxa" w:w="4238"/>
          </w:tcPr>
          <w:p>
            <w:r>
              <w:rPr/>
              <w:t>报价有效期满足磋商文件要求。</w:t>
            </w:r>
          </w:p>
        </w:tc>
      </w:tr>
      <w:tr>
        <w:tc>
          <w:tcPr>
            <w:tcW w:type="dxa" w:w="890"/>
          </w:tcPr>
          <w:p>
            <w:r>
              <w:rPr/>
              <w:t>5</w:t>
            </w:r>
          </w:p>
        </w:tc>
        <w:tc>
          <w:tcPr>
            <w:tcW w:type="dxa" w:w="3178"/>
          </w:tcPr>
          <w:p>
            <w:r>
              <w:rPr/>
              <w:t>投标文件编制</w:t>
            </w:r>
          </w:p>
        </w:tc>
        <w:tc>
          <w:tcPr>
            <w:tcW w:type="dxa" w:w="4238"/>
          </w:tcPr>
          <w:p>
            <w:r>
              <w:rPr/>
              <w:t>响应文件能按磋商文件的要求编制。</w:t>
            </w:r>
          </w:p>
        </w:tc>
      </w:tr>
      <w:tr>
        <w:tc>
          <w:tcPr>
            <w:tcW w:type="dxa" w:w="890"/>
          </w:tcPr>
          <w:p>
            <w:r>
              <w:rPr/>
              <w:t>6</w:t>
            </w:r>
          </w:p>
        </w:tc>
        <w:tc>
          <w:tcPr>
            <w:tcW w:type="dxa" w:w="3178"/>
          </w:tcPr>
          <w:p>
            <w:r>
              <w:rPr/>
              <w:t>其他条款</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采购包1(汕头市澄海区莱芜岛片区道路及绿化带环卫保洁市场化服务项目):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技术部分40.0分</w:t>
            </w:r>
          </w:p>
          <w:p>
            <w:r>
              <w:rPr/>
              <w:t>报价得分20.0分</w:t>
            </w:r>
          </w:p>
        </w:tc>
      </w:tr>
      <w:tr>
        <w:tc>
          <w:tcPr>
            <w:tcW w:type="dxa" w:w="922"/>
            <w:gridSpan w:val="2"/>
            <w:vMerge w:val="restart"/>
          </w:tcPr>
          <w:p>
            <w:pPr>
              <w:jc w:val="center"/>
            </w:pPr>
            <w:r>
              <w:rPr/>
              <w:t>技术部分</w:t>
            </w:r>
          </w:p>
        </w:tc>
        <w:tc>
          <w:tcPr>
            <w:tcW w:type="dxa" w:w="2307"/>
          </w:tcPr>
          <w:p>
            <w:pPr>
              <w:jc w:val="left"/>
            </w:pPr>
            <w:r>
              <w:rPr/>
              <w:t>日常保洁服务管理方案  (5.0分)</w:t>
            </w:r>
            <w:r>
              <w:rPr/>
              <w:t>，（等次分值选择：</w:t>
            </w:r>
            <w:r>
              <w:rPr/>
              <w:t>0.0;</w:t>
            </w:r>
            <w:r>
              <w:rPr/>
              <w:t>1.0;</w:t>
            </w:r>
            <w:r>
              <w:rPr/>
              <w:t>3.0;</w:t>
            </w:r>
            <w:r>
              <w:rPr/>
              <w:t>5.0;</w:t>
            </w:r>
            <w:r>
              <w:rPr/>
              <w:t>）</w:t>
            </w:r>
          </w:p>
        </w:tc>
        <w:tc>
          <w:tcPr>
            <w:tcW w:type="dxa" w:w="5076"/>
          </w:tcPr>
          <w:p>
            <w:pPr>
              <w:jc w:val="left"/>
            </w:pPr>
            <w:r>
              <w:rPr/>
              <w:t>1.日常保洁服务管理方案具体、可行、全面的得5分； 2.日常保洁服务管理方案较具体、较可行、较全面的得3分； 3.日常保洁服务管理方案一般的得1分； 4.没有提供不得分。</w:t>
            </w:r>
          </w:p>
        </w:tc>
      </w:tr>
      <w:tr>
        <w:tc>
          <w:tcPr>
            <w:tcW w:type="dxa" w:w="922"/>
            <w:gridSpan w:val="2"/>
            <w:vMerge/>
          </w:tcPr>
          <w:p/>
        </w:tc>
        <w:tc>
          <w:tcPr>
            <w:tcW w:type="dxa" w:w="2307"/>
          </w:tcPr>
          <w:p>
            <w:pPr>
              <w:jc w:val="left"/>
            </w:pPr>
            <w:r>
              <w:rPr/>
              <w:t>服务流程 (5.0分)</w:t>
            </w:r>
            <w:r>
              <w:rPr/>
              <w:t>，（等次分值选择：</w:t>
            </w:r>
            <w:r>
              <w:rPr/>
              <w:t>0.0;</w:t>
            </w:r>
            <w:r>
              <w:rPr/>
              <w:t>1.0;</w:t>
            </w:r>
            <w:r>
              <w:rPr/>
              <w:t>3.0;</w:t>
            </w:r>
            <w:r>
              <w:rPr/>
              <w:t>5.0;</w:t>
            </w:r>
            <w:r>
              <w:rPr/>
              <w:t>）</w:t>
            </w:r>
          </w:p>
        </w:tc>
        <w:tc>
          <w:tcPr>
            <w:tcW w:type="dxa" w:w="5076"/>
          </w:tcPr>
          <w:p>
            <w:pPr>
              <w:jc w:val="left"/>
            </w:pPr>
            <w:r>
              <w:rPr/>
              <w:t>1.服务实施流程科学、合理、满足用户需求的，得5分；  2.服务实施流程科学、较合理、基本能满足用户需求的，得3分；  3.服务实施流程科学、合理性一般、基本可以满足用户需求的，得1分； 4.没有提供不得分。</w:t>
            </w:r>
          </w:p>
        </w:tc>
      </w:tr>
      <w:tr>
        <w:tc>
          <w:tcPr>
            <w:tcW w:type="dxa" w:w="922"/>
            <w:gridSpan w:val="2"/>
            <w:vMerge/>
          </w:tcPr>
          <w:p/>
        </w:tc>
        <w:tc>
          <w:tcPr>
            <w:tcW w:type="dxa" w:w="2307"/>
          </w:tcPr>
          <w:p>
            <w:pPr>
              <w:jc w:val="left"/>
            </w:pPr>
            <w:r>
              <w:rPr/>
              <w:t>对项目总体情况的熟悉程度 (5.0分)</w:t>
            </w:r>
            <w:r>
              <w:rPr/>
              <w:t>，（等次分值选择：</w:t>
            </w:r>
            <w:r>
              <w:rPr/>
              <w:t>0.0;</w:t>
            </w:r>
            <w:r>
              <w:rPr/>
              <w:t>3.0;</w:t>
            </w:r>
            <w:r>
              <w:rPr/>
              <w:t>5.0;</w:t>
            </w:r>
            <w:r>
              <w:rPr/>
              <w:t>）</w:t>
            </w:r>
          </w:p>
        </w:tc>
        <w:tc>
          <w:tcPr>
            <w:tcW w:type="dxa" w:w="5076"/>
          </w:tcPr>
          <w:p>
            <w:pPr>
              <w:jc w:val="left"/>
            </w:pPr>
            <w:r>
              <w:rPr/>
              <w:t>1.供应商能熟悉项目总体情况的，得5分； 2.供应商基本能熟悉项目总体情况的，得3分；  3.供应商不能熟悉项目总体情况的不得分。</w:t>
            </w:r>
          </w:p>
        </w:tc>
      </w:tr>
      <w:tr>
        <w:tc>
          <w:tcPr>
            <w:tcW w:type="dxa" w:w="922"/>
            <w:gridSpan w:val="2"/>
            <w:vMerge/>
          </w:tcPr>
          <w:p/>
        </w:tc>
        <w:tc>
          <w:tcPr>
            <w:tcW w:type="dxa" w:w="2307"/>
          </w:tcPr>
          <w:p>
            <w:pPr>
              <w:jc w:val="left"/>
            </w:pPr>
            <w:r>
              <w:rPr/>
              <w:t>人力资源配置及时间安排  (5.0分)</w:t>
            </w:r>
            <w:r>
              <w:rPr/>
              <w:t>，（等次分值选择：</w:t>
            </w:r>
            <w:r>
              <w:rPr/>
              <w:t>0.0;</w:t>
            </w:r>
            <w:r>
              <w:rPr/>
              <w:t>1.0;</w:t>
            </w:r>
            <w:r>
              <w:rPr/>
              <w:t>3.0;</w:t>
            </w:r>
            <w:r>
              <w:rPr/>
              <w:t>5.0;</w:t>
            </w:r>
            <w:r>
              <w:rPr/>
              <w:t>）</w:t>
            </w:r>
          </w:p>
        </w:tc>
        <w:tc>
          <w:tcPr>
            <w:tcW w:type="dxa" w:w="5076"/>
          </w:tcPr>
          <w:p>
            <w:pPr>
              <w:jc w:val="left"/>
            </w:pPr>
            <w:r>
              <w:rPr/>
              <w:t>1.具有详细、可行、合理的人力资源配置和时间安排的得5分； 2.具有较详细、基本可行、合理的人力资源配置和时间安排的得3分； 3.具有较详细、一般可行的人力资源配置和时间安排的得1分； 4.无提供不得分。 注：配备人员须持有相符准驾车型的驾驶证，并要有3年以上同类车型驾驶经验复印件加盖公章。</w:t>
            </w:r>
          </w:p>
        </w:tc>
      </w:tr>
      <w:tr>
        <w:tc>
          <w:tcPr>
            <w:tcW w:type="dxa" w:w="922"/>
            <w:gridSpan w:val="2"/>
            <w:vMerge/>
          </w:tcPr>
          <w:p/>
        </w:tc>
        <w:tc>
          <w:tcPr>
            <w:tcW w:type="dxa" w:w="2307"/>
          </w:tcPr>
          <w:p>
            <w:pPr>
              <w:jc w:val="left"/>
            </w:pPr>
            <w:r>
              <w:rPr/>
              <w:t>工作制度及细则 (3.0分)</w:t>
            </w:r>
            <w:r>
              <w:rPr/>
              <w:t>，（等次分值选择：</w:t>
            </w:r>
            <w:r>
              <w:rPr/>
              <w:t>0.0;</w:t>
            </w:r>
            <w:r>
              <w:rPr/>
              <w:t>1.0;</w:t>
            </w:r>
            <w:r>
              <w:rPr/>
              <w:t>2.0;</w:t>
            </w:r>
            <w:r>
              <w:rPr/>
              <w:t>3.0;</w:t>
            </w:r>
            <w:r>
              <w:rPr/>
              <w:t>）</w:t>
            </w:r>
          </w:p>
        </w:tc>
        <w:tc>
          <w:tcPr>
            <w:tcW w:type="dxa" w:w="5076"/>
          </w:tcPr>
          <w:p>
            <w:pPr>
              <w:jc w:val="left"/>
            </w:pPr>
            <w:r>
              <w:rPr/>
              <w:t>1.工作制度及细则完善、合理的得3分； 2.工作制度及细则较完善、基本合理的得2分； 3.工作制度及细则不完善、不具体的得1分； 4.无提供不得分。</w:t>
            </w:r>
          </w:p>
        </w:tc>
      </w:tr>
      <w:tr>
        <w:tc>
          <w:tcPr>
            <w:tcW w:type="dxa" w:w="922"/>
            <w:gridSpan w:val="2"/>
            <w:vMerge/>
          </w:tcPr>
          <w:p/>
        </w:tc>
        <w:tc>
          <w:tcPr>
            <w:tcW w:type="dxa" w:w="2307"/>
          </w:tcPr>
          <w:p>
            <w:pPr>
              <w:jc w:val="left"/>
            </w:pPr>
            <w:r>
              <w:rPr/>
              <w:t>车辆维护、保养和维修方案  (5.0分)</w:t>
            </w:r>
            <w:r>
              <w:rPr/>
              <w:t>，（等次分值选择：</w:t>
            </w:r>
            <w:r>
              <w:rPr/>
              <w:t>0.0;</w:t>
            </w:r>
            <w:r>
              <w:rPr/>
              <w:t>1.0;</w:t>
            </w:r>
            <w:r>
              <w:rPr/>
              <w:t>3.0;</w:t>
            </w:r>
            <w:r>
              <w:rPr/>
              <w:t>5.0;</w:t>
            </w:r>
            <w:r>
              <w:rPr/>
              <w:t>）</w:t>
            </w:r>
          </w:p>
        </w:tc>
        <w:tc>
          <w:tcPr>
            <w:tcW w:type="dxa" w:w="5076"/>
          </w:tcPr>
          <w:p>
            <w:pPr>
              <w:jc w:val="left"/>
            </w:pPr>
            <w:r>
              <w:rPr/>
              <w:t>1.车辆维护、保养和维修方案方案完善、合理的得5分； 2.车辆维护、保养和维修方案方案较完善、基本合理的得3分； 3.车辆维护、保养和维修方案方案不完善、不合理的得1分； 4.无提供不得分。</w:t>
            </w:r>
          </w:p>
        </w:tc>
      </w:tr>
      <w:tr>
        <w:tc>
          <w:tcPr>
            <w:tcW w:type="dxa" w:w="922"/>
            <w:gridSpan w:val="2"/>
            <w:vMerge/>
          </w:tcPr>
          <w:p/>
        </w:tc>
        <w:tc>
          <w:tcPr>
            <w:tcW w:type="dxa" w:w="2307"/>
          </w:tcPr>
          <w:p>
            <w:pPr>
              <w:jc w:val="left"/>
            </w:pPr>
            <w:r>
              <w:rPr/>
              <w:t>人员培训方案 (2.0分)</w:t>
            </w:r>
            <w:r>
              <w:rPr/>
              <w:t>，（等次分值选择：</w:t>
            </w:r>
            <w:r>
              <w:rPr/>
              <w:t>0.0;</w:t>
            </w:r>
            <w:r>
              <w:rPr/>
              <w:t>0.5;</w:t>
            </w:r>
            <w:r>
              <w:rPr/>
              <w:t>1.0;</w:t>
            </w:r>
            <w:r>
              <w:rPr/>
              <w:t>2.0;</w:t>
            </w:r>
            <w:r>
              <w:rPr/>
              <w:t>）</w:t>
            </w:r>
          </w:p>
        </w:tc>
        <w:tc>
          <w:tcPr>
            <w:tcW w:type="dxa" w:w="5076"/>
          </w:tcPr>
          <w:p>
            <w:pPr>
              <w:jc w:val="left"/>
            </w:pPr>
            <w:r>
              <w:rPr/>
              <w:t>1.培训计划切实可行、培训目标明确具体、培训方式灵活多样，具有档案资料建立与管理方案、人员管理方案（录用与考核、淘汰机制、协调关系、服务意识、量化管理及标准运作等）的，得2分；  2.培训计划切实基本可行、培训目标基本明确具体、 培训方式灵活多样，具有档案资料建立与管理方案、人员管理方案（录用与考核、淘汰机制、协调关系、服务意识、量化管理及标准运作等）的，得1分； 3.培训计划一般可行、培训目标一般、培训方式单一，具有档案资料建立与管理方案、人员管理方案（录用与考核、淘汰机制、协调关系、服务意识、量化管理及标准运作等）的，0.5分。  4.无提供不得分。</w:t>
            </w:r>
          </w:p>
        </w:tc>
      </w:tr>
      <w:tr>
        <w:tc>
          <w:tcPr>
            <w:tcW w:type="dxa" w:w="922"/>
            <w:gridSpan w:val="2"/>
            <w:vMerge/>
          </w:tcPr>
          <w:p/>
        </w:tc>
        <w:tc>
          <w:tcPr>
            <w:tcW w:type="dxa" w:w="2307"/>
          </w:tcPr>
          <w:p>
            <w:pPr>
              <w:jc w:val="left"/>
            </w:pPr>
            <w:r>
              <w:rPr/>
              <w:t>针对重大检查、重大节假日、自然灾害、上级政府或主管部门的检查评比计划措施方案  (5.0分)</w:t>
            </w:r>
            <w:r>
              <w:rPr/>
              <w:t>，（等次分值选择：</w:t>
            </w:r>
            <w:r>
              <w:rPr/>
              <w:t>0.0;</w:t>
            </w:r>
            <w:r>
              <w:rPr/>
              <w:t>1.0;</w:t>
            </w:r>
            <w:r>
              <w:rPr/>
              <w:t>3.0;</w:t>
            </w:r>
            <w:r>
              <w:rPr/>
              <w:t>5.0;</w:t>
            </w:r>
            <w:r>
              <w:rPr/>
              <w:t>）</w:t>
            </w:r>
          </w:p>
        </w:tc>
        <w:tc>
          <w:tcPr>
            <w:tcW w:type="dxa" w:w="5076"/>
          </w:tcPr>
          <w:p>
            <w:pPr>
              <w:jc w:val="left"/>
            </w:pPr>
            <w:r>
              <w:rPr/>
              <w:t>1.针对重大检查、重大节假日、自然灾害、上级政府或主管部门的检查评比的计划措施方案具体、可行的，得5分；  2.针对重大检查、重大节假日、自然灾害、上级政府或主管部门的检查评比的计划措施方案较具体、基本可行的，得3分；  3.针对重大检查、重大节假日、自然灾害、上级政府或主管部门的检查评比的计划措施方案一般、可行性较差的，得1分；  4.无提供不得分。</w:t>
            </w:r>
          </w:p>
        </w:tc>
      </w:tr>
      <w:tr>
        <w:tc>
          <w:tcPr>
            <w:tcW w:type="dxa" w:w="922"/>
            <w:gridSpan w:val="2"/>
            <w:vMerge/>
          </w:tcPr>
          <w:p/>
        </w:tc>
        <w:tc>
          <w:tcPr>
            <w:tcW w:type="dxa" w:w="2307"/>
          </w:tcPr>
          <w:p>
            <w:pPr>
              <w:jc w:val="left"/>
            </w:pPr>
            <w:r>
              <w:rPr/>
              <w:t>应急管理能力、针对该项目的特色服务及达标承诺 (5.0分)</w:t>
            </w:r>
            <w:r>
              <w:rPr/>
              <w:t>，（等次分值选择：</w:t>
            </w:r>
            <w:r>
              <w:rPr/>
              <w:t>0.0;</w:t>
            </w:r>
            <w:r>
              <w:rPr/>
              <w:t>1.0;</w:t>
            </w:r>
            <w:r>
              <w:rPr/>
              <w:t>3.0;</w:t>
            </w:r>
            <w:r>
              <w:rPr/>
              <w:t>5.0;</w:t>
            </w:r>
            <w:r>
              <w:rPr/>
              <w:t>）</w:t>
            </w:r>
          </w:p>
        </w:tc>
        <w:tc>
          <w:tcPr>
            <w:tcW w:type="dxa" w:w="5076"/>
          </w:tcPr>
          <w:p>
            <w:pPr>
              <w:jc w:val="left"/>
            </w:pPr>
            <w:r>
              <w:rPr/>
              <w:t>1.具有切实、可行的应急管理方案和特色服务措施、达标承诺满足项目需求的，得5分； 2.具有基本可行的应急管理方案和特色服务措施、达标承诺基本满足项目需求的，得3分；  3.具有可行性一般的应急管理方案和特色服务措施、达标承诺基本满足项目需求的，得1分；  4.无提供不得分。</w:t>
            </w:r>
          </w:p>
        </w:tc>
      </w:tr>
      <w:tr>
        <w:tc>
          <w:tcPr>
            <w:tcW w:type="dxa" w:w="922"/>
            <w:gridSpan w:val="2"/>
            <w:vMerge w:val="restart"/>
          </w:tcPr>
          <w:p>
            <w:pPr>
              <w:jc w:val="center"/>
            </w:pPr>
            <w:r>
              <w:rPr/>
              <w:t>商务部分</w:t>
            </w:r>
          </w:p>
        </w:tc>
        <w:tc>
          <w:tcPr>
            <w:tcW w:type="dxa" w:w="2307"/>
          </w:tcPr>
          <w:p>
            <w:pPr>
              <w:jc w:val="left"/>
            </w:pPr>
            <w:r>
              <w:rPr/>
              <w:t>管理人员配备情况  (7.0分)</w:t>
            </w:r>
          </w:p>
        </w:tc>
        <w:tc>
          <w:tcPr>
            <w:tcW w:type="dxa" w:w="5076"/>
          </w:tcPr>
          <w:p>
            <w:pPr>
              <w:jc w:val="left"/>
            </w:pPr>
            <w:r>
              <w:rPr/>
              <w:t>1.拟派项目经理具有城市环卫管理师（高级）资格，得3分；中级得1分； 2.拟派现场负责人具有城乡环卫工程师（高级）资格，得2分；中级得1分； 3.拟派绿化负责人具有园林绿化工程师（高级）资格，得2分；中级得1分。 注：需提供人员资格证书及递交响应文件截止时间前半年内任意月份的社保证明复印件或扫描件加盖公章。</w:t>
            </w:r>
          </w:p>
        </w:tc>
      </w:tr>
      <w:tr>
        <w:tc>
          <w:tcPr>
            <w:tcW w:type="dxa" w:w="922"/>
            <w:gridSpan w:val="2"/>
            <w:vMerge/>
          </w:tcPr>
          <w:p/>
        </w:tc>
        <w:tc>
          <w:tcPr>
            <w:tcW w:type="dxa" w:w="2307"/>
          </w:tcPr>
          <w:p>
            <w:pPr>
              <w:jc w:val="left"/>
            </w:pPr>
            <w:r>
              <w:rPr/>
              <w:t>同类项目业绩 (9.0分)</w:t>
            </w:r>
          </w:p>
        </w:tc>
        <w:tc>
          <w:tcPr>
            <w:tcW w:type="dxa" w:w="5076"/>
          </w:tcPr>
          <w:p>
            <w:pPr>
              <w:jc w:val="left"/>
            </w:pPr>
            <w:r>
              <w:rPr/>
              <w:t>2021年1月1日至今供应商承接过同类保洁项目（至少包括道路保洁），每个得3分，最高得9分。 注：需提供合同复印件或扫描件加盖公章。</w:t>
            </w:r>
          </w:p>
        </w:tc>
      </w:tr>
      <w:tr>
        <w:tc>
          <w:tcPr>
            <w:tcW w:type="dxa" w:w="922"/>
            <w:gridSpan w:val="2"/>
            <w:vMerge/>
          </w:tcPr>
          <w:p/>
        </w:tc>
        <w:tc>
          <w:tcPr>
            <w:tcW w:type="dxa" w:w="2307"/>
          </w:tcPr>
          <w:p>
            <w:pPr>
              <w:jc w:val="left"/>
            </w:pPr>
            <w:r>
              <w:rPr/>
              <w:t>客户评价 (6.0分)</w:t>
            </w:r>
          </w:p>
        </w:tc>
        <w:tc>
          <w:tcPr>
            <w:tcW w:type="dxa" w:w="5076"/>
          </w:tcPr>
          <w:p>
            <w:pPr>
              <w:jc w:val="left"/>
            </w:pPr>
            <w:r>
              <w:rPr/>
              <w:t>2021年1月1日至今获得过同类保洁项目（好评，年度综合得分90分以上或优秀）情况， 获得一次得2分，最多得6分。 注：需提供加盖业主单位公章的评价意见复印件或扫描件加盖公章。</w:t>
            </w:r>
          </w:p>
        </w:tc>
      </w:tr>
      <w:tr>
        <w:tc>
          <w:tcPr>
            <w:tcW w:type="dxa" w:w="922"/>
            <w:gridSpan w:val="2"/>
            <w:vMerge/>
          </w:tcPr>
          <w:p/>
        </w:tc>
        <w:tc>
          <w:tcPr>
            <w:tcW w:type="dxa" w:w="2307"/>
          </w:tcPr>
          <w:p>
            <w:pPr>
              <w:jc w:val="left"/>
            </w:pPr>
            <w:r>
              <w:rPr/>
              <w:t>供应商参加过区县级或以上环卫考核评比情况  (8.0分)</w:t>
            </w:r>
          </w:p>
        </w:tc>
        <w:tc>
          <w:tcPr>
            <w:tcW w:type="dxa" w:w="5076"/>
          </w:tcPr>
          <w:p>
            <w:pPr>
              <w:jc w:val="left"/>
            </w:pPr>
            <w:r>
              <w:rPr/>
              <w:t>供应商有获得过区县级或以上环卫考核得分前三名，排名第一每次得2分；排名第二每次得1.5分，排名第三每次得1分，本项最高得8分。 注：需提供考核评分表资料复印件或扫描件加盖公章。</w:t>
            </w:r>
          </w:p>
        </w:tc>
      </w:tr>
      <w:tr>
        <w:tc>
          <w:tcPr>
            <w:tcW w:type="dxa" w:w="922"/>
            <w:gridSpan w:val="2"/>
            <w:vMerge/>
          </w:tcPr>
          <w:p/>
        </w:tc>
        <w:tc>
          <w:tcPr>
            <w:tcW w:type="dxa" w:w="2307"/>
          </w:tcPr>
          <w:p>
            <w:pPr>
              <w:jc w:val="left"/>
            </w:pPr>
            <w:r>
              <w:rPr/>
              <w:t>设备配备情况  (10.0分)</w:t>
            </w:r>
          </w:p>
        </w:tc>
        <w:tc>
          <w:tcPr>
            <w:tcW w:type="dxa" w:w="5076"/>
          </w:tcPr>
          <w:p>
            <w:pPr>
              <w:jc w:val="left"/>
            </w:pPr>
            <w:r>
              <w:rPr/>
              <w:t>设备配备满足或优于磋商文件要求的得10分；每缺少一项扣2分，最低得0分。 注：需提供设备清单、发票/收据/租赁合同（租赁期限须满足合同服务期限的要求）、图片等资料复印件或扫描件加盖公章。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color w:val="000000"/>
          <w:sz w:val="48"/>
        </w:rPr>
        <w:t>汕头市澄海区莱芜岛片区道路及绿化带环卫保洁市场化服务项目</w:t>
      </w:r>
    </w:p>
    <w:p>
      <w:pPr>
        <w:jc w:val="center"/>
      </w:pPr>
    </w:p>
    <w:p>
      <w:pPr>
        <w:jc w:val="center"/>
      </w:pPr>
    </w:p>
    <w:p>
      <w:pPr>
        <w:jc w:val="both"/>
      </w:pPr>
    </w:p>
    <w:p>
      <w:pPr>
        <w:ind w:firstLine="420"/>
      </w:pPr>
    </w:p>
    <w:p>
      <w:pPr>
        <w:jc w:val="center"/>
      </w:pPr>
    </w:p>
    <w:p>
      <w:pPr>
        <w:jc w:val="center"/>
      </w:pPr>
      <w:r>
        <w:rPr>
          <w:b/>
          <w:color w:val="000000"/>
          <w:sz w:val="44"/>
        </w:rPr>
        <w:t>合</w:t>
      </w:r>
    </w:p>
    <w:p>
      <w:pPr>
        <w:jc w:val="center"/>
      </w:pPr>
    </w:p>
    <w:p>
      <w:pPr>
        <w:jc w:val="center"/>
      </w:pPr>
      <w:r>
        <w:rPr>
          <w:b/>
          <w:color w:val="000000"/>
          <w:sz w:val="44"/>
        </w:rPr>
        <w:t>同</w:t>
      </w:r>
    </w:p>
    <w:p>
      <w:pPr>
        <w:jc w:val="center"/>
      </w:pPr>
    </w:p>
    <w:p>
      <w:pPr>
        <w:jc w:val="center"/>
      </w:pPr>
      <w:r>
        <w:rPr>
          <w:b/>
          <w:color w:val="000000"/>
          <w:sz w:val="44"/>
        </w:rPr>
        <w:t>书</w:t>
      </w:r>
    </w:p>
    <w:p>
      <w:pPr>
        <w:jc w:val="both"/>
      </w:pPr>
    </w:p>
    <w:p>
      <w:pPr>
        <w:jc w:val="both"/>
      </w:pPr>
    </w:p>
    <w:p>
      <w:pPr>
        <w:jc w:val="both"/>
      </w:pPr>
    </w:p>
    <w:p>
      <w:pPr>
        <w:jc w:val="both"/>
      </w:pPr>
    </w:p>
    <w:p>
      <w:pPr>
        <w:jc w:val="both"/>
      </w:pPr>
      <w:r>
        <w:rPr>
          <w:color w:val="000000"/>
          <w:sz w:val="28"/>
        </w:rPr>
        <w:t>甲方：</w:t>
      </w:r>
      <w:r>
        <w:rPr>
          <w:sz w:val="21"/>
          <w:u w:val="single"/>
        </w:rPr>
        <w:t xml:space="preserve">                             </w:t>
      </w:r>
    </w:p>
    <w:p>
      <w:pPr>
        <w:jc w:val="both"/>
      </w:pPr>
      <w:r>
        <w:rPr>
          <w:color w:val="000000"/>
          <w:sz w:val="28"/>
        </w:rPr>
        <w:t>乙方：</w:t>
      </w:r>
      <w:r>
        <w:rPr>
          <w:sz w:val="21"/>
          <w:u w:val="single"/>
        </w:rPr>
        <w:t xml:space="preserve">                             </w:t>
      </w:r>
    </w:p>
    <w:p>
      <w:pPr>
        <w:ind w:firstLine="1680"/>
      </w:pPr>
      <w:r>
        <w:rPr>
          <w:color w:val="000000"/>
          <w:sz w:val="28"/>
        </w:rPr>
        <w:t>签订时间：</w:t>
      </w:r>
      <w:r>
        <w:rPr>
          <w:u w:val="single"/>
        </w:rPr>
        <w:t xml:space="preserve">                         </w:t>
      </w:r>
    </w:p>
    <w:p>
      <w:pPr>
        <w:jc w:val="left"/>
      </w:pPr>
    </w:p>
    <w:p>
      <w:r>
        <w:rPr>
          <w:color w:val="000000"/>
          <w:sz w:val="24"/>
        </w:rPr>
        <w:t>甲方：</w:t>
      </w:r>
    </w:p>
    <w:p>
      <w:r>
        <w:rPr/>
        <w:t xml:space="preserve"> </w:t>
      </w:r>
    </w:p>
    <w:p>
      <w:pPr>
        <w:jc w:val="left"/>
      </w:pPr>
      <w:r>
        <w:rPr>
          <w:color w:val="000000"/>
          <w:sz w:val="24"/>
        </w:rPr>
        <w:t>电话：</w:t>
      </w:r>
    </w:p>
    <w:p>
      <w:pPr>
        <w:jc w:val="left"/>
      </w:pPr>
      <w:r>
        <w:rPr>
          <w:color w:val="000000"/>
          <w:sz w:val="24"/>
        </w:rPr>
        <w:t>传真：</w:t>
      </w:r>
    </w:p>
    <w:p>
      <w:pPr>
        <w:jc w:val="left"/>
      </w:pPr>
      <w:r>
        <w:rPr>
          <w:color w:val="000000"/>
          <w:sz w:val="24"/>
        </w:rPr>
        <w:t>地址：</w:t>
      </w:r>
    </w:p>
    <w:p>
      <w:pPr>
        <w:jc w:val="left"/>
      </w:pPr>
      <w:r>
        <w:rPr>
          <w:color w:val="000000"/>
          <w:sz w:val="24"/>
        </w:rPr>
        <w:t>乙方：</w:t>
      </w:r>
    </w:p>
    <w:p>
      <w:pPr>
        <w:jc w:val="left"/>
      </w:pPr>
      <w:r>
        <w:rPr>
          <w:color w:val="000000"/>
          <w:sz w:val="24"/>
        </w:rPr>
        <w:t>电话：</w:t>
      </w:r>
    </w:p>
    <w:p>
      <w:pPr>
        <w:jc w:val="left"/>
      </w:pPr>
      <w:r>
        <w:rPr>
          <w:color w:val="000000"/>
          <w:sz w:val="24"/>
        </w:rPr>
        <w:t>传真：</w:t>
      </w:r>
    </w:p>
    <w:p>
      <w:pPr>
        <w:jc w:val="left"/>
      </w:pPr>
      <w:r>
        <w:rPr>
          <w:color w:val="000000"/>
          <w:sz w:val="24"/>
        </w:rPr>
        <w:t>地址：</w:t>
      </w:r>
    </w:p>
    <w:p>
      <w:pPr>
        <w:ind w:firstLine="480"/>
        <w:jc w:val="left"/>
      </w:pPr>
      <w:r>
        <w:rPr>
          <w:color w:val="000000"/>
          <w:sz w:val="24"/>
        </w:rPr>
        <w:t>根据</w:t>
      </w:r>
      <w:r>
        <w:rPr>
          <w:color w:val="000000"/>
          <w:sz w:val="24"/>
          <w:u w:val="single"/>
        </w:rPr>
        <w:t>汕头市澄海区莱芜岛片区道路及绿化带环卫保洁市场化服务项目</w:t>
      </w:r>
      <w:r>
        <w:rPr>
          <w:color w:val="000000"/>
          <w:sz w:val="24"/>
        </w:rPr>
        <w:t>竞争性磋商</w:t>
      </w:r>
      <w:r>
        <w:rPr>
          <w:color w:val="000000"/>
          <w:sz w:val="24"/>
        </w:rPr>
        <w:t>的采购结果，确定乙方为</w:t>
      </w:r>
      <w:r>
        <w:rPr>
          <w:color w:val="000000"/>
          <w:sz w:val="24"/>
          <w:u w:val="single"/>
        </w:rPr>
        <w:t>汕头市澄海区莱芜岛片区道路及绿化带环卫保洁市场化服务项目</w:t>
      </w:r>
      <w:r>
        <w:rPr>
          <w:color w:val="000000"/>
          <w:sz w:val="24"/>
        </w:rPr>
        <w:t>的</w:t>
      </w:r>
      <w:r>
        <w:rPr>
          <w:color w:val="000000"/>
          <w:sz w:val="24"/>
        </w:rPr>
        <w:t>成交供应商</w:t>
      </w:r>
      <w:r>
        <w:rPr>
          <w:color w:val="000000"/>
          <w:sz w:val="24"/>
        </w:rPr>
        <w:t>。按照《中华人民共和国政府采购法》、</w:t>
      </w:r>
      <w:r>
        <w:rPr>
          <w:color w:val="000000"/>
          <w:sz w:val="24"/>
        </w:rPr>
        <w:t>《中华人民共和国民法典》</w:t>
      </w:r>
      <w:r>
        <w:rPr>
          <w:color w:val="000000"/>
          <w:sz w:val="24"/>
        </w:rPr>
        <w:t>本项目</w:t>
      </w:r>
      <w:r>
        <w:rPr>
          <w:color w:val="000000"/>
          <w:sz w:val="24"/>
        </w:rPr>
        <w:t>磋商文件</w:t>
      </w:r>
      <w:r>
        <w:rPr>
          <w:color w:val="000000"/>
          <w:sz w:val="24"/>
        </w:rPr>
        <w:t>的要求、</w:t>
      </w:r>
      <w:r>
        <w:rPr>
          <w:color w:val="000000"/>
          <w:sz w:val="24"/>
        </w:rPr>
        <w:t>响应文件</w:t>
      </w:r>
      <w:r>
        <w:rPr>
          <w:color w:val="000000"/>
          <w:sz w:val="24"/>
        </w:rPr>
        <w:t>承诺和采购结果，本着平等互利和诚实信用的原则，经双方协商，一致同意签订本合同如下。</w:t>
      </w:r>
    </w:p>
    <w:p>
      <w:pPr>
        <w:ind w:firstLine="480"/>
        <w:jc w:val="both"/>
      </w:pPr>
      <w:r>
        <w:rPr>
          <w:color w:val="000000"/>
          <w:sz w:val="24"/>
        </w:rPr>
        <w:t>一、本合同服务类型</w:t>
      </w:r>
      <w:r>
        <w:rPr>
          <w:color w:val="000000"/>
          <w:sz w:val="24"/>
        </w:rPr>
        <w:t>及范围</w:t>
      </w:r>
      <w:r>
        <w:rPr>
          <w:color w:val="000000"/>
          <w:sz w:val="24"/>
        </w:rPr>
        <w:t>：</w:t>
      </w:r>
      <w:r>
        <w:rPr>
          <w:color w:val="000000"/>
          <w:sz w:val="24"/>
        </w:rPr>
        <w:t>道路清扫保洁（含路肩、公共停车场、绿化带和牛皮癣清理）、废弃物（包含建筑垃圾）、片区道路两侧路缘杂草定期整理、树枝落叶、垃圾收集转运等作业服务，所有生活垃圾由成交供应商运输至附近垃圾压缩站。负责清除区域内海滩上的垃圾杂物，保持环境整洁美观。驻点或巡回对厕所及其周边环境进行清扫、冲洗、消毒，保养清洁并管理室内各种设施。</w:t>
      </w:r>
    </w:p>
    <w:p>
      <w:pPr>
        <w:ind w:firstLine="480"/>
        <w:jc w:val="left"/>
      </w:pPr>
    </w:p>
    <w:p>
      <w:pPr>
        <w:jc w:val="both"/>
      </w:pPr>
      <w:r>
        <w:rPr>
          <w:b/>
          <w:color w:val="000000"/>
          <w:sz w:val="24"/>
        </w:rPr>
        <w:t>（</w:t>
      </w:r>
      <w:r>
        <w:rPr>
          <w:b/>
          <w:color w:val="000000"/>
          <w:sz w:val="24"/>
        </w:rPr>
        <w:t>1</w:t>
      </w:r>
      <w:r>
        <w:rPr>
          <w:b/>
          <w:color w:val="000000"/>
          <w:sz w:val="24"/>
        </w:rPr>
        <w:t>）道路保洁</w:t>
      </w:r>
    </w:p>
    <w:tbl>
      <w:tblPr>
        <w:tblW w:w="0" w:type="auto"/>
        <w:tblBorders>
          <w:top w:val="none" w:color="000000" w:sz="4"/>
          <w:left w:val="none" w:color="000000" w:sz="4"/>
          <w:bottom w:val="none" w:color="000000" w:sz="4"/>
          <w:right w:val="none" w:color="000000" w:sz="4"/>
          <w:insideH w:val="none"/>
          <w:insideV w:val="none"/>
        </w:tblBorders>
      </w:tblPr>
      <w:tblGrid>
        <w:gridCol w:w="755"/>
        <w:gridCol w:w="768"/>
        <w:gridCol w:w="3198"/>
        <w:gridCol w:w="1208"/>
        <w:gridCol w:w="1221"/>
        <w:gridCol w:w="1112"/>
      </w:tblGrid>
      <w:tr>
        <w:tc>
          <w:tcPr>
            <w:tcW w:type="dxa" w:w="755"/>
            <w:tcBorders>
              <w:top w:val="single" w:color="000000" w:sz="4"/>
              <w:left w:val="single" w:color="000000" w:sz="4"/>
              <w:bottom w:val="single" w:color="000000" w:sz="4"/>
              <w:right w:val="single" w:color="000000" w:sz="4"/>
            </w:tcBorders>
            <w:vAlign w:val="top"/>
          </w:tcPr>
          <w:p>
            <w:pPr>
              <w:jc w:val="center"/>
            </w:pPr>
            <w:r>
              <w:rPr>
                <w:b/>
                <w:color w:val="000000"/>
                <w:sz w:val="24"/>
              </w:rPr>
              <w:t>序</w:t>
            </w:r>
            <w:r>
              <w:rPr>
                <w:b/>
                <w:color w:val="000000"/>
                <w:sz w:val="24"/>
              </w:rPr>
              <w:t>号</w:t>
            </w:r>
          </w:p>
        </w:tc>
        <w:tc>
          <w:tcPr>
            <w:tcW w:type="dxa" w:w="768"/>
            <w:tcBorders>
              <w:top w:val="single" w:color="000000" w:sz="4"/>
              <w:left w:val="single" w:color="000000" w:sz="4"/>
              <w:bottom w:val="single" w:color="000000" w:sz="4"/>
              <w:right w:val="single" w:color="000000" w:sz="4"/>
            </w:tcBorders>
            <w:vAlign w:val="top"/>
          </w:tcPr>
          <w:p>
            <w:pPr>
              <w:jc w:val="center"/>
            </w:pPr>
            <w:r>
              <w:rPr>
                <w:b/>
                <w:color w:val="000000"/>
                <w:sz w:val="24"/>
              </w:rPr>
              <w:t>地点</w:t>
            </w:r>
          </w:p>
        </w:tc>
        <w:tc>
          <w:tcPr>
            <w:tcW w:type="dxa" w:w="3198"/>
            <w:tcBorders>
              <w:top w:val="single" w:color="000000" w:sz="4"/>
              <w:left w:val="single" w:color="000000" w:sz="4"/>
              <w:bottom w:val="single" w:color="000000" w:sz="4"/>
              <w:right w:val="single" w:color="000000" w:sz="4"/>
            </w:tcBorders>
            <w:vAlign w:val="top"/>
          </w:tcPr>
          <w:p>
            <w:pPr>
              <w:jc w:val="center"/>
            </w:pPr>
            <w:r>
              <w:rPr>
                <w:b/>
                <w:color w:val="000000"/>
                <w:sz w:val="24"/>
              </w:rPr>
              <w:t>保洁范围</w:t>
            </w:r>
          </w:p>
        </w:tc>
        <w:tc>
          <w:tcPr>
            <w:tcW w:type="dxa" w:w="1208"/>
            <w:tcBorders>
              <w:top w:val="single" w:color="000000" w:sz="4"/>
              <w:left w:val="single" w:color="000000" w:sz="4"/>
              <w:bottom w:val="single" w:color="000000" w:sz="4"/>
              <w:right w:val="single" w:color="000000" w:sz="4"/>
            </w:tcBorders>
            <w:vAlign w:val="top"/>
          </w:tcPr>
          <w:p>
            <w:pPr>
              <w:jc w:val="center"/>
            </w:pPr>
            <w:r>
              <w:rPr>
                <w:b/>
                <w:color w:val="000000"/>
                <w:sz w:val="24"/>
              </w:rPr>
              <w:t>道路面积</w:t>
            </w:r>
          </w:p>
        </w:tc>
        <w:tc>
          <w:tcPr>
            <w:tcW w:type="dxa" w:w="1221"/>
            <w:tcBorders>
              <w:top w:val="single" w:color="000000" w:sz="4"/>
              <w:left w:val="single" w:color="000000" w:sz="4"/>
              <w:bottom w:val="single" w:color="000000" w:sz="4"/>
              <w:right w:val="single" w:color="000000" w:sz="4"/>
            </w:tcBorders>
            <w:vAlign w:val="top"/>
          </w:tcPr>
          <w:p>
            <w:pPr>
              <w:jc w:val="center"/>
            </w:pPr>
            <w:r>
              <w:rPr>
                <w:b/>
                <w:color w:val="000000"/>
                <w:sz w:val="24"/>
              </w:rPr>
              <w:t>绿化面积</w:t>
            </w:r>
          </w:p>
        </w:tc>
        <w:tc>
          <w:tcPr>
            <w:tcW w:type="dxa" w:w="1112"/>
            <w:tcBorders>
              <w:top w:val="single" w:color="000000" w:sz="4"/>
              <w:left w:val="single" w:color="000000" w:sz="4"/>
              <w:bottom w:val="single" w:color="000000" w:sz="4"/>
              <w:right w:val="single" w:color="000000" w:sz="4"/>
            </w:tcBorders>
            <w:vAlign w:val="top"/>
          </w:tcPr>
          <w:p>
            <w:pPr>
              <w:jc w:val="center"/>
            </w:pPr>
            <w:r>
              <w:rPr>
                <w:b/>
                <w:color w:val="000000"/>
                <w:sz w:val="24"/>
              </w:rPr>
              <w:t>道路级别</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768"/>
            <w:vMerge w:val="restart"/>
            <w:tcBorders>
              <w:top w:val="none" w:color="000000" w:sz="4"/>
              <w:left w:val="single" w:color="000000" w:sz="4"/>
              <w:bottom w:val="single" w:color="000000" w:sz="4"/>
              <w:right w:val="single" w:color="000000" w:sz="4"/>
            </w:tcBorders>
            <w:vAlign w:val="top"/>
          </w:tcPr>
          <w:p>
            <w:pPr>
              <w:jc w:val="both"/>
            </w:pPr>
            <w:r>
              <w:rPr>
                <w:color w:val="000000"/>
                <w:sz w:val="24"/>
              </w:rPr>
              <w:t>莱芜</w:t>
            </w:r>
          </w:p>
          <w:p>
            <w:pPr>
              <w:ind w:firstLine="480"/>
              <w:jc w:val="center"/>
            </w:pPr>
          </w:p>
          <w:p>
            <w:pPr>
              <w:jc w:val="center"/>
            </w:p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环岛西路（神女路</w:t>
            </w:r>
            <w:r>
              <w:rPr>
                <w:color w:val="000000"/>
                <w:sz w:val="24"/>
              </w:rPr>
              <w:t>—环岛南路）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13600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5440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北环中路（神女路</w:t>
            </w:r>
            <w:r>
              <w:rPr>
                <w:color w:val="000000"/>
                <w:sz w:val="24"/>
              </w:rPr>
              <w:t>—环岛东路）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14040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5460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金叶北路（神女路</w:t>
            </w:r>
            <w:r>
              <w:rPr>
                <w:color w:val="000000"/>
                <w:sz w:val="24"/>
              </w:rPr>
              <w:t>—古堡路）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9360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3120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4</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金叶南路（迎宾路</w:t>
            </w:r>
            <w:r>
              <w:rPr>
                <w:color w:val="000000"/>
                <w:sz w:val="24"/>
              </w:rPr>
              <w:t>—古堡路）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6960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2320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5</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古堡路（三角绿道</w:t>
            </w:r>
            <w:r>
              <w:rPr>
                <w:color w:val="000000"/>
                <w:sz w:val="24"/>
              </w:rPr>
              <w:t>—古堡前）</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2700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1080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6</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观潮东路（神女路</w:t>
            </w:r>
            <w:r>
              <w:rPr>
                <w:color w:val="000000"/>
                <w:sz w:val="24"/>
              </w:rPr>
              <w:t>—环岛东路）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2400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720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7</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观潮西路（神女路</w:t>
            </w:r>
            <w:r>
              <w:rPr>
                <w:color w:val="000000"/>
                <w:sz w:val="24"/>
              </w:rPr>
              <w:t>—环岛南路）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1680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480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8</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泰南路（金叶南路</w:t>
            </w:r>
            <w:r>
              <w:rPr>
                <w:color w:val="000000"/>
                <w:sz w:val="24"/>
              </w:rPr>
              <w:t>—环岛南路）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3200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1280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9</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南屿路（金叶南路</w:t>
            </w:r>
            <w:r>
              <w:rPr>
                <w:color w:val="000000"/>
                <w:sz w:val="24"/>
              </w:rPr>
              <w:t>—环岛南路）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1600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400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10</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莱华路（神女路</w:t>
            </w:r>
            <w:r>
              <w:rPr>
                <w:color w:val="000000"/>
                <w:sz w:val="24"/>
              </w:rPr>
              <w:t>—环岛东路）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3360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1120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11</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南环二路（神女路</w:t>
            </w:r>
            <w:r>
              <w:rPr>
                <w:color w:val="000000"/>
                <w:sz w:val="24"/>
              </w:rPr>
              <w:t>—迎宾路）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2600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1040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迎宾路（神女路</w:t>
            </w:r>
            <w:r>
              <w:rPr>
                <w:color w:val="000000"/>
                <w:sz w:val="24"/>
              </w:rPr>
              <w:t>—财宛）</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2640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880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新华路（金叶北路</w:t>
            </w:r>
            <w:r>
              <w:rPr>
                <w:color w:val="000000"/>
                <w:sz w:val="24"/>
              </w:rPr>
              <w:t>—金叶南路）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1100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440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14</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晨光路（神女路</w:t>
            </w:r>
            <w:r>
              <w:rPr>
                <w:color w:val="000000"/>
                <w:sz w:val="24"/>
              </w:rPr>
              <w:t>—环岛东路）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6300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2700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15</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弧形支路（神女路</w:t>
            </w:r>
            <w:r>
              <w:rPr>
                <w:color w:val="000000"/>
                <w:sz w:val="24"/>
              </w:rPr>
              <w:t>—北环中路）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2360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354</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16</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南环一路（迎宾路</w:t>
            </w:r>
            <w:r>
              <w:rPr>
                <w:color w:val="000000"/>
                <w:sz w:val="24"/>
              </w:rPr>
              <w:t>—南环中路）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1600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640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17</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三角绿岛（环岛西路）</w:t>
            </w:r>
          </w:p>
        </w:tc>
        <w:tc>
          <w:tcPr>
            <w:tcW w:type="dxa" w:w="1208"/>
            <w:tcBorders>
              <w:top w:val="none" w:color="000000" w:sz="4"/>
              <w:left w:val="single" w:color="000000" w:sz="4"/>
              <w:bottom w:val="single" w:color="000000" w:sz="4"/>
              <w:right w:val="single" w:color="000000" w:sz="4"/>
            </w:tcBorders>
            <w:vAlign w:val="top"/>
          </w:tcPr>
          <w:p>
            <w:pPr>
              <w:ind w:firstLine="480"/>
              <w:jc w:val="both"/>
            </w:pPr>
            <w:r>
              <w:rPr>
                <w:color w:val="000000"/>
                <w:sz w:val="24"/>
              </w:rPr>
              <w:t>/</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160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18</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象园（迎宾路</w:t>
            </w:r>
            <w:r>
              <w:rPr>
                <w:color w:val="000000"/>
                <w:sz w:val="24"/>
              </w:rPr>
              <w:t>—南环中路）</w:t>
            </w:r>
          </w:p>
        </w:tc>
        <w:tc>
          <w:tcPr>
            <w:tcW w:type="dxa" w:w="1208"/>
            <w:tcBorders>
              <w:top w:val="none" w:color="000000" w:sz="4"/>
              <w:left w:val="single" w:color="000000" w:sz="4"/>
              <w:bottom w:val="single" w:color="000000" w:sz="4"/>
              <w:right w:val="single" w:color="000000" w:sz="4"/>
            </w:tcBorders>
            <w:vAlign w:val="top"/>
          </w:tcPr>
          <w:p>
            <w:pPr>
              <w:ind w:firstLine="480"/>
              <w:jc w:val="both"/>
            </w:pPr>
            <w:r>
              <w:rPr>
                <w:color w:val="000000"/>
                <w:sz w:val="24"/>
              </w:rPr>
              <w:t>/</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600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19</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进岛绿岛（北环中路）</w:t>
            </w:r>
          </w:p>
        </w:tc>
        <w:tc>
          <w:tcPr>
            <w:tcW w:type="dxa" w:w="1208"/>
            <w:tcBorders>
              <w:top w:val="none" w:color="000000" w:sz="4"/>
              <w:left w:val="single" w:color="000000" w:sz="4"/>
              <w:bottom w:val="single" w:color="000000" w:sz="4"/>
              <w:right w:val="single" w:color="000000" w:sz="4"/>
            </w:tcBorders>
            <w:vAlign w:val="top"/>
          </w:tcPr>
          <w:p>
            <w:pPr>
              <w:ind w:firstLine="480"/>
              <w:jc w:val="both"/>
            </w:pPr>
            <w:r>
              <w:rPr>
                <w:color w:val="000000"/>
                <w:sz w:val="24"/>
              </w:rPr>
              <w:t>/</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900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20</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晴园前路（象园弧路</w:t>
            </w:r>
            <w:r>
              <w:rPr>
                <w:color w:val="000000"/>
                <w:sz w:val="24"/>
              </w:rPr>
              <w:t>—金叶南路）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220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110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21</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三如阁前路（象园弧路</w:t>
            </w:r>
            <w:r>
              <w:rPr>
                <w:color w:val="000000"/>
                <w:sz w:val="24"/>
              </w:rPr>
              <w:t>—金叶南路）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220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110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象园弧路（象园</w:t>
            </w:r>
            <w:r>
              <w:rPr>
                <w:color w:val="000000"/>
                <w:sz w:val="24"/>
              </w:rPr>
              <w:t>—迎宾路）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475</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285</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清风阁前广场（清风阁前</w:t>
            </w:r>
            <w:r>
              <w:rPr>
                <w:color w:val="000000"/>
                <w:sz w:val="24"/>
              </w:rPr>
              <w:t>—南环中路）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1080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9</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24</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侨苑前路（神女路</w:t>
            </w:r>
            <w:r>
              <w:rPr>
                <w:color w:val="000000"/>
                <w:sz w:val="24"/>
              </w:rPr>
              <w:t>—南环中路）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460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230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25</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莱发小区环路（莱发小区</w:t>
            </w:r>
            <w:r>
              <w:rPr>
                <w:color w:val="000000"/>
                <w:sz w:val="24"/>
              </w:rPr>
              <w:t>—神女路）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2800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1400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26</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铭兴别墅前路（别墅前</w:t>
            </w:r>
            <w:r>
              <w:rPr>
                <w:color w:val="000000"/>
                <w:sz w:val="24"/>
              </w:rPr>
              <w:t>—神女路）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690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115</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27</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南屿路东侧路（金叶南路</w:t>
            </w:r>
            <w:r>
              <w:rPr>
                <w:color w:val="000000"/>
                <w:sz w:val="24"/>
              </w:rPr>
              <w:t>—木屋别墅）</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520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28</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天桥路（金叶南路</w:t>
            </w:r>
            <w:r>
              <w:rPr>
                <w:color w:val="000000"/>
                <w:sz w:val="24"/>
              </w:rPr>
              <w:t>—金叶北路）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480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120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29</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赋园前绿岛（神女路</w:t>
            </w:r>
            <w:r>
              <w:rPr>
                <w:color w:val="000000"/>
                <w:sz w:val="24"/>
              </w:rPr>
              <w:t>—环岛东路）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900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30</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乳峰路（神女路</w:t>
            </w:r>
            <w:r>
              <w:rPr>
                <w:color w:val="000000"/>
                <w:sz w:val="24"/>
              </w:rPr>
              <w:t>—双乳峰）</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800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400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31</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爱国主义基地</w:t>
            </w:r>
            <w:r>
              <w:rPr>
                <w:color w:val="000000"/>
                <w:sz w:val="24"/>
              </w:rPr>
              <w:t>（</w:t>
            </w:r>
            <w:r>
              <w:rPr>
                <w:color w:val="000000"/>
                <w:sz w:val="24"/>
              </w:rPr>
              <w:t>古炮台景区</w:t>
            </w:r>
            <w:r>
              <w:rPr>
                <w:color w:val="000000"/>
                <w:sz w:val="24"/>
              </w:rPr>
              <w:t>）</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1600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1200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二级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32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环岛南路</w:t>
            </w:r>
            <w:r>
              <w:rPr>
                <w:color w:val="000000"/>
                <w:sz w:val="24"/>
              </w:rPr>
              <w:t>(观潮西路—环岛西路)</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11210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2950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一级</w:t>
            </w:r>
          </w:p>
        </w:tc>
      </w:tr>
      <w:tr>
        <w:tc>
          <w:tcPr>
            <w:tcW w:type="dxa" w:w="755"/>
            <w:tcBorders>
              <w:top w:val="none" w:color="000000" w:sz="4"/>
              <w:left w:val="single" w:color="000000" w:sz="4"/>
              <w:bottom w:val="single" w:color="000000" w:sz="4"/>
              <w:right w:val="single" w:color="000000" w:sz="4"/>
            </w:tcBorders>
            <w:vAlign w:val="top"/>
          </w:tcPr>
          <w:p>
            <w:pPr>
              <w:jc w:val="center"/>
            </w:pPr>
            <w:r>
              <w:rPr>
                <w:color w:val="000000"/>
                <w:sz w:val="24"/>
              </w:rPr>
              <w:t>33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vAlign w:val="top"/>
          </w:tcPr>
          <w:p>
            <w:pPr>
              <w:jc w:val="center"/>
            </w:pPr>
            <w:r>
              <w:rPr>
                <w:color w:val="000000"/>
                <w:sz w:val="24"/>
              </w:rPr>
              <w:t>环岛西路</w:t>
            </w:r>
            <w:r>
              <w:rPr>
                <w:color w:val="000000"/>
                <w:sz w:val="24"/>
              </w:rPr>
              <w:t>(环岛西路公共停车场)</w:t>
            </w:r>
          </w:p>
        </w:tc>
        <w:tc>
          <w:tcPr>
            <w:tcW w:type="dxa" w:w="1208"/>
            <w:tcBorders>
              <w:top w:val="none" w:color="000000" w:sz="4"/>
              <w:left w:val="single" w:color="000000" w:sz="4"/>
              <w:bottom w:val="single" w:color="000000" w:sz="4"/>
              <w:right w:val="single" w:color="000000" w:sz="4"/>
            </w:tcBorders>
            <w:vAlign w:val="top"/>
          </w:tcPr>
          <w:p>
            <w:pPr>
              <w:jc w:val="center"/>
            </w:pPr>
            <w:r>
              <w:rPr>
                <w:color w:val="000000"/>
                <w:sz w:val="24"/>
              </w:rPr>
              <w:t>900</w:t>
            </w:r>
          </w:p>
        </w:tc>
        <w:tc>
          <w:tcPr>
            <w:tcW w:type="dxa" w:w="1221"/>
            <w:tcBorders>
              <w:top w:val="none" w:color="000000" w:sz="4"/>
              <w:left w:val="single" w:color="000000" w:sz="4"/>
              <w:bottom w:val="single" w:color="000000" w:sz="4"/>
              <w:right w:val="single" w:color="000000" w:sz="4"/>
            </w:tcBorders>
            <w:vAlign w:val="top"/>
          </w:tcPr>
          <w:p>
            <w:pPr>
              <w:jc w:val="center"/>
            </w:pPr>
            <w:r>
              <w:rPr>
                <w:color w:val="000000"/>
                <w:sz w:val="24"/>
              </w:rPr>
              <w:t>90</w:t>
            </w:r>
          </w:p>
        </w:tc>
        <w:tc>
          <w:tcPr>
            <w:tcW w:type="dxa" w:w="1112"/>
            <w:tcBorders>
              <w:top w:val="none" w:color="000000" w:sz="4"/>
              <w:left w:val="single" w:color="000000" w:sz="4"/>
              <w:bottom w:val="single" w:color="000000" w:sz="4"/>
              <w:right w:val="single" w:color="000000" w:sz="4"/>
            </w:tcBorders>
            <w:vAlign w:val="top"/>
          </w:tcPr>
          <w:p>
            <w:pPr>
              <w:jc w:val="center"/>
            </w:pPr>
            <w:r>
              <w:rPr>
                <w:color w:val="000000"/>
                <w:sz w:val="24"/>
              </w:rPr>
              <w:t>三级</w:t>
            </w:r>
          </w:p>
        </w:tc>
      </w:tr>
      <w:tr>
        <w:tc>
          <w:tcPr>
            <w:tcW w:type="dxa" w:w="8262"/>
            <w:gridSpan w:val="6"/>
            <w:tcBorders>
              <w:top w:val="none" w:color="000000" w:sz="4"/>
              <w:left w:val="single" w:color="000000" w:sz="4"/>
              <w:bottom w:val="single" w:color="000000" w:sz="4"/>
              <w:right w:val="single" w:color="000000" w:sz="4"/>
            </w:tcBorders>
            <w:vAlign w:val="top"/>
          </w:tcPr>
          <w:p>
            <w:pPr>
              <w:ind w:firstLine="480"/>
              <w:jc w:val="both"/>
            </w:pPr>
            <w:r>
              <w:rPr>
                <w:color w:val="000000"/>
                <w:sz w:val="24"/>
              </w:rPr>
              <w:t>备注：以上面积只供参考，实际作业面积与参考面积不符的，以实际作业面积为准，采购人不另拨经费。上述路段保洁内容包括：道路清扫保洁（含路肩、公共停车场、绿化带和牛皮癣清理）、废弃物（包含建筑垃圾）、片区道路两侧路缘杂草定期整理、树枝落叶、垃圾收集转运等作业服务。</w:t>
            </w:r>
          </w:p>
        </w:tc>
      </w:tr>
    </w:tbl>
    <w:p>
      <w:pPr>
        <w:jc w:val="both"/>
      </w:pPr>
      <w:r>
        <w:rPr>
          <w:b/>
          <w:color w:val="000000"/>
          <w:sz w:val="24"/>
        </w:rPr>
        <w:t>（</w:t>
      </w:r>
      <w:r>
        <w:rPr>
          <w:b/>
          <w:color w:val="000000"/>
          <w:sz w:val="24"/>
        </w:rPr>
        <w:t>2</w:t>
      </w:r>
      <w:r>
        <w:rPr>
          <w:b/>
          <w:color w:val="000000"/>
          <w:sz w:val="24"/>
        </w:rPr>
        <w:t>）莱芜围海滩保洁</w:t>
      </w:r>
    </w:p>
    <w:tbl>
      <w:tblPr>
        <w:tblW w:w="0" w:type="auto"/>
        <w:tblBorders>
          <w:top w:val="none" w:color="000000" w:sz="4"/>
          <w:left w:val="none" w:color="000000" w:sz="4"/>
          <w:bottom w:val="none" w:color="000000" w:sz="4"/>
          <w:right w:val="none" w:color="000000" w:sz="4"/>
          <w:insideH w:val="none"/>
          <w:insideV w:val="none"/>
        </w:tblBorders>
      </w:tblPr>
      <w:tblGrid>
        <w:gridCol w:w="510"/>
        <w:gridCol w:w="1876"/>
        <w:gridCol w:w="2593"/>
        <w:gridCol w:w="3311"/>
      </w:tblGrid>
      <w:tr>
        <w:tc>
          <w:tcPr>
            <w:tcW w:type="dxa" w:w="510"/>
            <w:vMerge w:val="restart"/>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876"/>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项目名称</w:t>
            </w:r>
          </w:p>
        </w:tc>
        <w:tc>
          <w:tcPr>
            <w:tcW w:type="dxa" w:w="2593"/>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服务范围</w:t>
            </w:r>
          </w:p>
        </w:tc>
        <w:tc>
          <w:tcPr>
            <w:tcW w:type="dxa" w:w="3311"/>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备注</w:t>
            </w:r>
          </w:p>
        </w:tc>
      </w:tr>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1876"/>
            <w:tcBorders>
              <w:top w:val="none" w:color="000000" w:sz="4"/>
              <w:left w:val="none" w:color="000000" w:sz="4"/>
              <w:bottom w:val="single" w:color="000000" w:sz="4"/>
              <w:right w:val="single" w:color="000000" w:sz="4"/>
            </w:tcBorders>
            <w:vAlign w:val="top"/>
          </w:tcPr>
          <w:p>
            <w:pPr>
              <w:jc w:val="center"/>
            </w:pPr>
            <w:r>
              <w:rPr>
                <w:color w:val="000000"/>
                <w:sz w:val="24"/>
              </w:rPr>
              <w:t>莱芜围海滩</w:t>
            </w:r>
          </w:p>
        </w:tc>
        <w:tc>
          <w:tcPr>
            <w:tcW w:type="dxa" w:w="2593"/>
            <w:tcBorders>
              <w:top w:val="none" w:color="000000" w:sz="4"/>
              <w:left w:val="none" w:color="000000" w:sz="4"/>
              <w:bottom w:val="single" w:color="000000" w:sz="4"/>
              <w:right w:val="single" w:color="000000" w:sz="4"/>
            </w:tcBorders>
            <w:vAlign w:val="top"/>
          </w:tcPr>
          <w:p>
            <w:pPr>
              <w:jc w:val="left"/>
            </w:pPr>
            <w:r>
              <w:rPr>
                <w:color w:val="000000"/>
                <w:sz w:val="24"/>
              </w:rPr>
              <w:t>自海湾尚景北环中路东侧海滩起至北港咀防波堤海滩止</w:t>
            </w:r>
          </w:p>
        </w:tc>
        <w:tc>
          <w:tcPr>
            <w:tcW w:type="dxa" w:w="3311"/>
            <w:tcBorders>
              <w:top w:val="none" w:color="000000" w:sz="4"/>
              <w:left w:val="none" w:color="000000" w:sz="4"/>
              <w:bottom w:val="single" w:color="000000" w:sz="4"/>
              <w:right w:val="single" w:color="000000" w:sz="4"/>
            </w:tcBorders>
            <w:vAlign w:val="top"/>
          </w:tcPr>
          <w:p>
            <w:pPr>
              <w:jc w:val="left"/>
            </w:pPr>
            <w:r>
              <w:rPr>
                <w:color w:val="000000"/>
                <w:sz w:val="24"/>
              </w:rPr>
              <w:t>负责清除区域内海滩上的垃圾杂物，保持环境整洁美观。</w:t>
            </w:r>
          </w:p>
        </w:tc>
      </w:tr>
    </w:tbl>
    <w:p>
      <w:pPr>
        <w:jc w:val="both"/>
      </w:pPr>
      <w:r>
        <w:rPr>
          <w:b/>
          <w:color w:val="000000"/>
          <w:sz w:val="24"/>
        </w:rPr>
        <w:t>（</w:t>
      </w:r>
      <w:r>
        <w:rPr>
          <w:b/>
          <w:color w:val="000000"/>
          <w:sz w:val="24"/>
        </w:rPr>
        <w:t>3</w:t>
      </w:r>
      <w:r>
        <w:rPr>
          <w:b/>
          <w:color w:val="000000"/>
          <w:sz w:val="24"/>
        </w:rPr>
        <w:t>）公厕保洁</w:t>
      </w:r>
    </w:p>
    <w:tbl>
      <w:tblPr>
        <w:tblW w:w="0" w:type="auto"/>
        <w:tblBorders>
          <w:top w:val="none" w:color="000000" w:sz="4"/>
          <w:left w:val="none" w:color="000000" w:sz="4"/>
          <w:bottom w:val="none" w:color="000000" w:sz="4"/>
          <w:right w:val="none" w:color="000000" w:sz="4"/>
          <w:insideH w:val="none"/>
          <w:insideV w:val="none"/>
        </w:tblBorders>
      </w:tblPr>
      <w:tblGrid>
        <w:gridCol w:w="510"/>
        <w:gridCol w:w="1807"/>
        <w:gridCol w:w="1531"/>
        <w:gridCol w:w="4428"/>
      </w:tblGrid>
      <w:tr>
        <w:tc>
          <w:tcPr>
            <w:tcW w:type="dxa" w:w="510"/>
            <w:vMerge w:val="restart"/>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807"/>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项目名称</w:t>
            </w:r>
          </w:p>
        </w:tc>
        <w:tc>
          <w:tcPr>
            <w:tcW w:type="dxa" w:w="1531"/>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数量（座）</w:t>
            </w:r>
          </w:p>
        </w:tc>
        <w:tc>
          <w:tcPr>
            <w:tcW w:type="dxa" w:w="4428"/>
            <w:vMerge w:val="restart"/>
            <w:tcBorders>
              <w:top w:val="single" w:color="000000" w:sz="4"/>
              <w:left w:val="none" w:color="000000" w:sz="4"/>
              <w:bottom w:val="single" w:color="000000" w:sz="4"/>
              <w:right w:val="single" w:color="000000" w:sz="4"/>
            </w:tcBorders>
            <w:vAlign w:val="top"/>
          </w:tcPr>
          <w:p>
            <w:pPr>
              <w:jc w:val="center"/>
            </w:pPr>
            <w:r>
              <w:rPr>
                <w:b/>
                <w:color w:val="000000"/>
                <w:sz w:val="24"/>
              </w:rPr>
              <w:t>备注</w:t>
            </w:r>
          </w:p>
        </w:tc>
      </w:tr>
      <w:tr/>
      <w:tr>
        <w:tc>
          <w:tcPr>
            <w:tcW w:type="dxa" w:w="510"/>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1807"/>
            <w:tcBorders>
              <w:top w:val="none" w:color="000000" w:sz="4"/>
              <w:left w:val="none" w:color="000000" w:sz="4"/>
              <w:bottom w:val="single" w:color="000000" w:sz="4"/>
              <w:right w:val="single" w:color="000000" w:sz="4"/>
            </w:tcBorders>
            <w:vAlign w:val="top"/>
          </w:tcPr>
          <w:p>
            <w:pPr>
              <w:jc w:val="center"/>
            </w:pPr>
            <w:r>
              <w:rPr>
                <w:color w:val="000000"/>
                <w:sz w:val="24"/>
              </w:rPr>
              <w:t>公厕</w:t>
            </w:r>
          </w:p>
        </w:tc>
        <w:tc>
          <w:tcPr>
            <w:tcW w:type="dxa" w:w="1531"/>
            <w:tcBorders>
              <w:top w:val="none" w:color="000000" w:sz="4"/>
              <w:left w:val="none" w:color="000000" w:sz="4"/>
              <w:bottom w:val="single" w:color="000000" w:sz="4"/>
              <w:right w:val="single" w:color="000000" w:sz="4"/>
            </w:tcBorders>
            <w:vAlign w:val="top"/>
          </w:tcPr>
          <w:p>
            <w:pPr>
              <w:jc w:val="center"/>
            </w:pPr>
            <w:r>
              <w:rPr>
                <w:color w:val="000000"/>
                <w:sz w:val="24"/>
              </w:rPr>
              <w:t>1</w:t>
            </w:r>
          </w:p>
        </w:tc>
        <w:tc>
          <w:tcPr>
            <w:tcW w:type="dxa" w:w="4428"/>
            <w:tcBorders>
              <w:top w:val="none" w:color="000000" w:sz="4"/>
              <w:left w:val="none" w:color="000000" w:sz="4"/>
              <w:bottom w:val="single" w:color="000000" w:sz="4"/>
              <w:right w:val="single" w:color="000000" w:sz="4"/>
            </w:tcBorders>
            <w:vAlign w:val="top"/>
          </w:tcPr>
          <w:p>
            <w:pPr>
              <w:jc w:val="left"/>
            </w:pPr>
            <w:r>
              <w:rPr>
                <w:color w:val="000000"/>
                <w:sz w:val="24"/>
              </w:rPr>
              <w:t>驻点或骑车巡回对厕所及其周边环境进行清扫、</w:t>
            </w:r>
            <w:r>
              <w:rPr>
                <w:color w:val="000000"/>
                <w:sz w:val="24"/>
              </w:rPr>
              <w:t>冲洗、消毒</w:t>
            </w:r>
            <w:r>
              <w:rPr>
                <w:color w:val="000000"/>
                <w:sz w:val="24"/>
              </w:rPr>
              <w:t>,保养清洁并管理室内各种设施。</w:t>
            </w:r>
          </w:p>
        </w:tc>
      </w:tr>
    </w:tbl>
    <w:p>
      <w:pPr>
        <w:ind w:firstLine="480"/>
        <w:jc w:val="left"/>
      </w:pPr>
      <w:r>
        <w:rPr>
          <w:color w:val="000000"/>
          <w:sz w:val="24"/>
        </w:rPr>
        <w:t>二、服务期限</w:t>
      </w:r>
      <w:r>
        <w:rPr>
          <w:color w:val="000000"/>
          <w:sz w:val="24"/>
        </w:rPr>
        <w:t>：</w:t>
      </w:r>
      <w:r>
        <w:rPr>
          <w:sz w:val="21"/>
          <w:u w:val="single"/>
        </w:rPr>
        <w:t xml:space="preserve">   </w:t>
      </w:r>
      <w:r>
        <w:rPr>
          <w:color w:val="000000"/>
          <w:sz w:val="24"/>
        </w:rPr>
        <w:t>年（自</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日至</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w:t>
      </w:r>
    </w:p>
    <w:p>
      <w:pPr>
        <w:ind w:firstLine="480"/>
        <w:jc w:val="left"/>
      </w:pPr>
      <w:r>
        <w:rPr>
          <w:color w:val="000000"/>
          <w:sz w:val="24"/>
        </w:rPr>
        <w:t>三、设备及人员到位期限：</w:t>
      </w:r>
      <w:r>
        <w:rPr>
          <w:color w:val="000000"/>
          <w:sz w:val="24"/>
          <w:u w:val="single"/>
        </w:rPr>
        <w:t>在签订合同后</w:t>
      </w:r>
      <w:r>
        <w:rPr>
          <w:color w:val="000000"/>
          <w:sz w:val="24"/>
          <w:u w:val="single"/>
        </w:rPr>
        <w:t>5天内，乙方必须按投标承诺及</w:t>
      </w:r>
      <w:r>
        <w:rPr>
          <w:color w:val="000000"/>
          <w:sz w:val="24"/>
          <w:u w:val="single"/>
        </w:rPr>
        <w:t>磋商文件</w:t>
      </w:r>
      <w:r>
        <w:rPr>
          <w:color w:val="000000"/>
          <w:sz w:val="24"/>
          <w:u w:val="single"/>
        </w:rPr>
        <w:t>的有关要求把设备、人员安排到位并按合同约定投入正常运作。若乙方未能按时按要求配置设备及人员，终止合同；由此引起的一切责任由乙方承担</w:t>
      </w:r>
      <w:r>
        <w:rPr>
          <w:color w:val="000000"/>
          <w:sz w:val="24"/>
        </w:rPr>
        <w:t>。</w:t>
      </w:r>
    </w:p>
    <w:p>
      <w:pPr>
        <w:ind w:firstLine="480"/>
        <w:jc w:val="left"/>
      </w:pPr>
      <w:r>
        <w:rPr>
          <w:color w:val="000000"/>
          <w:sz w:val="24"/>
        </w:rPr>
        <w:t>四、服务要求：</w:t>
      </w:r>
      <w:r>
        <w:rPr>
          <w:color w:val="000000"/>
          <w:sz w:val="24"/>
          <w:u w:val="single"/>
        </w:rPr>
        <w:t>必须符合</w:t>
      </w:r>
      <w:r>
        <w:rPr>
          <w:color w:val="000000"/>
          <w:sz w:val="24"/>
          <w:u w:val="single"/>
        </w:rPr>
        <w:t>磋商文件</w:t>
      </w:r>
      <w:r>
        <w:rPr>
          <w:color w:val="000000"/>
          <w:sz w:val="24"/>
          <w:u w:val="single"/>
        </w:rPr>
        <w:t>的规定要求、国家和行业的相关标准</w:t>
      </w:r>
      <w:r>
        <w:rPr>
          <w:color w:val="000000"/>
          <w:sz w:val="24"/>
        </w:rPr>
        <w:t>。</w:t>
      </w:r>
    </w:p>
    <w:p>
      <w:pPr>
        <w:ind w:firstLine="480"/>
        <w:jc w:val="left"/>
      </w:pPr>
      <w:r>
        <w:rPr>
          <w:color w:val="000000"/>
          <w:sz w:val="24"/>
        </w:rPr>
        <w:t>五、服务方式：</w:t>
      </w:r>
      <w:r>
        <w:rPr>
          <w:color w:val="000000"/>
          <w:sz w:val="24"/>
          <w:u w:val="single"/>
        </w:rPr>
        <w:t>本项目实行总承包制</w:t>
      </w:r>
      <w:r>
        <w:rPr>
          <w:color w:val="000000"/>
          <w:sz w:val="24"/>
        </w:rPr>
        <w:t>。</w:t>
      </w:r>
    </w:p>
    <w:p>
      <w:pPr>
        <w:ind w:firstLine="480"/>
        <w:jc w:val="left"/>
      </w:pPr>
      <w:r>
        <w:rPr>
          <w:color w:val="000000"/>
          <w:sz w:val="24"/>
        </w:rPr>
        <w:t>六、合同金额：（大写）：</w:t>
      </w:r>
      <w:r>
        <w:rPr>
          <w:color w:val="000000"/>
          <w:sz w:val="24"/>
        </w:rPr>
        <w:t>______________________元（￥_______________元）人民币。</w:t>
      </w:r>
    </w:p>
    <w:p>
      <w:pPr>
        <w:ind w:firstLine="480"/>
        <w:jc w:val="left"/>
      </w:pPr>
      <w:r>
        <w:rPr>
          <w:color w:val="000000"/>
          <w:sz w:val="24"/>
        </w:rPr>
        <w:t>每月承包服务费金额为（大写）：</w:t>
      </w:r>
      <w:r>
        <w:rPr>
          <w:color w:val="000000"/>
          <w:sz w:val="24"/>
        </w:rPr>
        <w:t>_____________________元（￥_______________元）人民币。</w:t>
      </w:r>
    </w:p>
    <w:p>
      <w:pPr>
        <w:ind w:firstLine="480"/>
        <w:jc w:val="left"/>
      </w:pPr>
      <w:r>
        <w:rPr>
          <w:color w:val="000000"/>
          <w:sz w:val="24"/>
        </w:rPr>
        <w:t>本合同总金额包括，</w:t>
      </w:r>
      <w:r>
        <w:rPr>
          <w:color w:val="000000"/>
          <w:sz w:val="24"/>
        </w:rPr>
        <w:t>人员工资、意外险、福利、垃圾转运、警示牌的设立、环卫清扫和运输车辆、环卫工人保洁车配置费、办公费、机械设备费、办公场地租赁费、企业管理、利润、税金、规费、处理一切伤亡事故费用、不可预见费用等一切相关费用。所有价格均应为人民币报价，金额单位为元</w:t>
      </w:r>
      <w:r>
        <w:rPr>
          <w:color w:val="000000"/>
          <w:sz w:val="24"/>
        </w:rPr>
        <w:t>。</w:t>
      </w:r>
    </w:p>
    <w:p>
      <w:pPr>
        <w:ind w:firstLine="480"/>
        <w:jc w:val="left"/>
      </w:pPr>
      <w:r>
        <w:rPr>
          <w:color w:val="000000"/>
          <w:sz w:val="24"/>
        </w:rPr>
        <w:t>七、付款方式</w:t>
      </w:r>
    </w:p>
    <w:p>
      <w:pPr>
        <w:ind w:firstLine="480"/>
        <w:jc w:val="left"/>
      </w:pPr>
      <w:r>
        <w:rPr>
          <w:color w:val="000000"/>
          <w:sz w:val="24"/>
        </w:rPr>
        <w:t>逐月按考核结果支付给成交供应商环卫作业服务费，每月将区级负担环卫经费的</w:t>
      </w:r>
      <w:r>
        <w:rPr>
          <w:color w:val="000000"/>
          <w:sz w:val="24"/>
        </w:rPr>
        <w:t>80%拨给乙方，剩余的20%每半年按区考核结果结算一次，实际结算金额以区环卫考核办考核结果为准，乙方收款时须向采购人开具有效发票。</w:t>
      </w:r>
    </w:p>
    <w:p>
      <w:pPr>
        <w:ind w:firstLine="480"/>
        <w:jc w:val="left"/>
      </w:pPr>
      <w:r>
        <w:rPr>
          <w:color w:val="000000"/>
          <w:sz w:val="24"/>
        </w:rPr>
        <w:t>支付时效说明：因甲方使用的是财政资金，所以甲方在前款规定的时间内支付成交供应商实际是向财政部门申请办理拨款支付的时间而不是实际支付的时间。乙方在规定时间内向甲方申请支付，甲方按期向财政部门申请拨款支付，乙方不得以此作为甲方的违约考量依据。</w:t>
      </w:r>
    </w:p>
    <w:p>
      <w:pPr>
        <w:ind w:firstLine="480"/>
        <w:jc w:val="left"/>
      </w:pPr>
      <w:r>
        <w:rPr>
          <w:color w:val="000000"/>
          <w:sz w:val="24"/>
        </w:rPr>
        <w:t>八、其他重要注意事项</w:t>
      </w:r>
    </w:p>
    <w:p>
      <w:pPr>
        <w:ind w:firstLine="480"/>
        <w:jc w:val="left"/>
      </w:pPr>
      <w:r>
        <w:rPr>
          <w:color w:val="000000"/>
          <w:sz w:val="24"/>
        </w:rPr>
        <w:t>1、本项目承包服务费实行包干，在执行过程如遇未尽事宜，双方可协商解决。</w:t>
      </w:r>
    </w:p>
    <w:p>
      <w:pPr>
        <w:ind w:firstLine="480"/>
        <w:jc w:val="left"/>
      </w:pPr>
      <w:r>
        <w:rPr>
          <w:color w:val="000000"/>
          <w:sz w:val="24"/>
        </w:rPr>
        <w:t>2、服务期间乙方必须根据作业量的增加或创文工作需要适时增加相应数量的作业人员、作业车辆和作业机械、工具等以满足作业的需要，确保保洁质量。该费用已包含在投标报价中，甲方不再另行支付。</w:t>
      </w:r>
    </w:p>
    <w:p>
      <w:pPr>
        <w:ind w:firstLine="480"/>
        <w:jc w:val="left"/>
      </w:pPr>
      <w:r>
        <w:rPr>
          <w:color w:val="000000"/>
          <w:sz w:val="24"/>
        </w:rPr>
        <w:t>3、由于总标价已包含垃圾收集和现有有偿服务费用，乙方不能收取原由管委会和环卫部门收取的居民垃圾袋装费、临街门店卫生费和生产单位垃圾收集费等有偿卫生服务费用。如发现乙方擅自收取居民住户、沿路商铺、市场、机关、企事业单位、工厂等单位的环境卫生服务费，将按照收费额的两倍在服务承包费中扣除。因特殊原因乙方确需收取有偿卫生服务费的，需事先征得甲方书面同意方可收费。</w:t>
      </w:r>
    </w:p>
    <w:p>
      <w:pPr>
        <w:ind w:firstLine="480"/>
        <w:jc w:val="left"/>
      </w:pPr>
      <w:r>
        <w:rPr>
          <w:color w:val="000000"/>
          <w:sz w:val="24"/>
        </w:rPr>
        <w:t>4、甲方、乙方双方须积极协调配合清扫保洁和垃圾转运等作业的交接工作。</w:t>
      </w:r>
    </w:p>
    <w:p>
      <w:pPr>
        <w:ind w:firstLine="480"/>
        <w:jc w:val="left"/>
      </w:pPr>
      <w:r>
        <w:rPr>
          <w:color w:val="000000"/>
          <w:sz w:val="24"/>
        </w:rPr>
        <w:t>5、乙方承包的内容纳入有关部门组织的检查考核评比，并按相应的奖惩办法进行奖惩。</w:t>
      </w:r>
    </w:p>
    <w:p>
      <w:pPr>
        <w:ind w:firstLine="480"/>
        <w:jc w:val="left"/>
      </w:pPr>
      <w:r>
        <w:rPr>
          <w:color w:val="000000"/>
          <w:sz w:val="24"/>
        </w:rPr>
        <w:t>6、乙方应建立健全卫生质量检查档案，以备查验。</w:t>
      </w:r>
    </w:p>
    <w:p>
      <w:pPr>
        <w:ind w:firstLine="480"/>
        <w:jc w:val="left"/>
      </w:pPr>
      <w:r>
        <w:rPr>
          <w:color w:val="000000"/>
          <w:sz w:val="24"/>
        </w:rPr>
        <w:t>7、按项目所在地城市管理和综合执法部门办理从事城市生活垃圾经营性清扫、收集、运输服务审批许可证（若有须办理）。</w:t>
      </w:r>
    </w:p>
    <w:p>
      <w:pPr>
        <w:ind w:firstLine="480"/>
        <w:jc w:val="left"/>
      </w:pPr>
      <w:r>
        <w:rPr>
          <w:color w:val="000000"/>
          <w:sz w:val="24"/>
        </w:rPr>
        <w:t>8、服务期满，乙方未能继续获取清扫保洁作业和垃圾转运项目时，原有乙方要积极配合下一个乙方进行工作交接，不得以任何方式阻碍交接，影响甲方项目正常运行。否则，甲方有权另行聘请人员确保正常保洁工作，所产生的费用在履约保证金中相应扣减。</w:t>
      </w:r>
    </w:p>
    <w:p>
      <w:pPr>
        <w:ind w:firstLine="480"/>
        <w:jc w:val="left"/>
      </w:pPr>
      <w:r>
        <w:rPr>
          <w:color w:val="000000"/>
          <w:sz w:val="24"/>
        </w:rPr>
        <w:t>9、乙方因机械、工具、人员等不能满足清扫保洁和垃圾转运服务需求影响工作，5天内限期整改仍未符合承诺要求的，甲方有权单方面终止该项目合同。</w:t>
      </w:r>
    </w:p>
    <w:p>
      <w:pPr>
        <w:ind w:firstLine="480"/>
        <w:jc w:val="left"/>
      </w:pPr>
      <w:r>
        <w:rPr>
          <w:color w:val="000000"/>
          <w:sz w:val="24"/>
        </w:rPr>
        <w:t>10、乙方因其作业或作业材料引起第三方损害赔偿责任或行政处罚责任，若甲方依法或依行政命令对此发生了先行垫付，乙方应在收到甲方通知后的三天内支付。否则，甲方可直接在乙方的承包款中扣除。</w:t>
      </w:r>
    </w:p>
    <w:p>
      <w:pPr>
        <w:ind w:firstLine="480"/>
        <w:jc w:val="left"/>
      </w:pPr>
      <w:r>
        <w:rPr>
          <w:color w:val="000000"/>
          <w:sz w:val="24"/>
        </w:rPr>
        <w:t>11、对新增加或遗漏的道路面积以及重复计算的面积按道路级别的计费办法由双方协定并依法签订补充协议，并上传广东省政府采购网智慧云平台公示。</w:t>
      </w:r>
    </w:p>
    <w:p>
      <w:pPr>
        <w:ind w:firstLine="480"/>
        <w:jc w:val="left"/>
      </w:pPr>
      <w:r>
        <w:rPr>
          <w:color w:val="000000"/>
          <w:sz w:val="24"/>
        </w:rPr>
        <w:t>12、合同期满，乙方应如数归还由甲方提供使用的环卫设施，若造成损坏或数量不足的，乙方需按新购价赔偿甲方。若乙方不履行责任的，甲方可在乙方的承包款或履约保证金中扣减相关费用后再行付款，由此造成的付款时间延误由乙方负责。</w:t>
      </w:r>
    </w:p>
    <w:p>
      <w:pPr>
        <w:ind w:firstLine="480"/>
        <w:jc w:val="left"/>
      </w:pPr>
      <w:r>
        <w:rPr>
          <w:color w:val="000000"/>
          <w:sz w:val="24"/>
        </w:rPr>
        <w:t>九、</w:t>
      </w:r>
      <w:r>
        <w:rPr>
          <w:color w:val="000000"/>
          <w:sz w:val="24"/>
        </w:rPr>
        <w:t>甲方、乙方责任</w:t>
      </w:r>
    </w:p>
    <w:p>
      <w:pPr>
        <w:ind w:firstLine="480"/>
        <w:jc w:val="left"/>
      </w:pPr>
      <w:r>
        <w:rPr>
          <w:color w:val="000000"/>
          <w:sz w:val="24"/>
        </w:rPr>
        <w:t>1、甲方责任</w:t>
      </w:r>
    </w:p>
    <w:p>
      <w:pPr>
        <w:ind w:firstLine="480"/>
        <w:jc w:val="left"/>
      </w:pPr>
      <w:r>
        <w:rPr>
          <w:color w:val="000000"/>
          <w:sz w:val="24"/>
        </w:rPr>
        <w:t>（</w:t>
      </w:r>
      <w:r>
        <w:rPr>
          <w:color w:val="000000"/>
          <w:sz w:val="24"/>
        </w:rPr>
        <w:t>1）按本合同和《汕头市城市环境卫生质量标准》、《汕头市城市市容环境卫生管理条例》及国家、省、市、区、行业的标准的有关规定对乙方作业进行检查、监督和指导乙方做好保洁管理工作。</w:t>
      </w:r>
    </w:p>
    <w:p>
      <w:pPr>
        <w:ind w:firstLine="480"/>
        <w:jc w:val="left"/>
      </w:pPr>
      <w:r>
        <w:rPr>
          <w:color w:val="000000"/>
          <w:sz w:val="24"/>
        </w:rPr>
        <w:t>（</w:t>
      </w:r>
      <w:r>
        <w:rPr>
          <w:color w:val="000000"/>
          <w:sz w:val="24"/>
        </w:rPr>
        <w:t>2）按照本合同的有关规定对乙方的管理工作进行检查并评分。</w:t>
      </w:r>
    </w:p>
    <w:p>
      <w:pPr>
        <w:ind w:firstLine="480"/>
        <w:jc w:val="left"/>
      </w:pPr>
      <w:r>
        <w:rPr>
          <w:color w:val="000000"/>
          <w:sz w:val="24"/>
        </w:rPr>
        <w:t>（</w:t>
      </w:r>
      <w:r>
        <w:rPr>
          <w:color w:val="000000"/>
          <w:sz w:val="24"/>
        </w:rPr>
        <w:t>3）甲方按照乙方的服务质量、合同约定的期限和方式及时支付服务承包费给乙方。</w:t>
      </w:r>
    </w:p>
    <w:p>
      <w:pPr>
        <w:ind w:firstLine="480"/>
        <w:jc w:val="left"/>
      </w:pPr>
      <w:r>
        <w:rPr>
          <w:color w:val="000000"/>
          <w:sz w:val="24"/>
        </w:rPr>
        <w:t>2、乙方责任</w:t>
      </w:r>
    </w:p>
    <w:p>
      <w:pPr>
        <w:ind w:firstLine="480"/>
        <w:jc w:val="left"/>
      </w:pPr>
      <w:r>
        <w:rPr>
          <w:color w:val="000000"/>
          <w:sz w:val="24"/>
        </w:rPr>
        <w:t>（</w:t>
      </w:r>
      <w:r>
        <w:rPr>
          <w:color w:val="000000"/>
          <w:sz w:val="24"/>
        </w:rPr>
        <w:t>1）切实按本合同，《汕头市城市环境卫生质量标准》，国家、省、市、区、行业的标准的有关规定及国家有关法律、法规、规章规定履行作业和管理服务责任。</w:t>
      </w:r>
    </w:p>
    <w:p>
      <w:pPr>
        <w:ind w:firstLine="480"/>
        <w:jc w:val="left"/>
      </w:pPr>
      <w:r>
        <w:rPr>
          <w:color w:val="000000"/>
          <w:sz w:val="24"/>
        </w:rPr>
        <w:t>（</w:t>
      </w:r>
      <w:r>
        <w:rPr>
          <w:color w:val="000000"/>
          <w:sz w:val="24"/>
        </w:rPr>
        <w:t>2）按</w:t>
      </w:r>
      <w:r>
        <w:rPr>
          <w:color w:val="000000"/>
          <w:sz w:val="24"/>
        </w:rPr>
        <w:t>磋商文件</w:t>
      </w:r>
      <w:r>
        <w:rPr>
          <w:color w:val="000000"/>
          <w:sz w:val="24"/>
        </w:rPr>
        <w:t>要求及</w:t>
      </w:r>
      <w:r>
        <w:rPr>
          <w:color w:val="000000"/>
          <w:sz w:val="24"/>
        </w:rPr>
        <w:t>响应文件</w:t>
      </w:r>
      <w:r>
        <w:rPr>
          <w:color w:val="000000"/>
          <w:sz w:val="24"/>
        </w:rPr>
        <w:t>的承诺，配备</w:t>
      </w:r>
      <w:r>
        <w:rPr>
          <w:color w:val="000000"/>
          <w:sz w:val="24"/>
        </w:rPr>
        <w:t>响应文件</w:t>
      </w:r>
      <w:r>
        <w:rPr>
          <w:color w:val="000000"/>
          <w:sz w:val="24"/>
        </w:rPr>
        <w:t>中响应的人员、设备及办公场所、停放工具（包括车辆）场地、建筑废弃土、大宗废旧物品临时处理场地。</w:t>
      </w:r>
    </w:p>
    <w:p>
      <w:pPr>
        <w:ind w:firstLine="480"/>
        <w:jc w:val="left"/>
      </w:pPr>
      <w:r>
        <w:rPr>
          <w:color w:val="000000"/>
          <w:sz w:val="24"/>
        </w:rPr>
        <w:t>（</w:t>
      </w:r>
      <w:r>
        <w:rPr>
          <w:color w:val="000000"/>
          <w:sz w:val="24"/>
        </w:rPr>
        <w:t>3）</w:t>
      </w:r>
      <w:r>
        <w:rPr>
          <w:color w:val="000000"/>
          <w:sz w:val="24"/>
        </w:rPr>
        <w:t>乙方须在合同签订后</w:t>
      </w:r>
      <w:r>
        <w:rPr>
          <w:color w:val="000000"/>
          <w:sz w:val="24"/>
        </w:rPr>
        <w:t>5天内，向甲方提交《项目措施计划书》，计划书内必须包含辖区内</w:t>
      </w:r>
      <w:r>
        <w:rPr>
          <w:color w:val="000000"/>
          <w:sz w:val="24"/>
        </w:rPr>
        <w:t>路面</w:t>
      </w:r>
      <w:r>
        <w:rPr>
          <w:color w:val="000000"/>
          <w:sz w:val="24"/>
        </w:rPr>
        <w:t>、绿化、人行道、路肩的清扫保洁及清理牛皮癣、建筑废弃土、废弃物和管理人员安排表（项目的法人或项目经理应在当地随时处理相关问题）</w:t>
      </w:r>
      <w:r>
        <w:rPr>
          <w:color w:val="000000"/>
          <w:sz w:val="24"/>
        </w:rPr>
        <w:t>等</w:t>
      </w:r>
      <w:r>
        <w:rPr>
          <w:color w:val="000000"/>
          <w:sz w:val="24"/>
        </w:rPr>
        <w:t>，计划书中涉及的作业人数、作业次数等标准不得低于投标承诺的有关标准。乙方必须按经甲方确认后的《项目措施计划书》进行保洁管理和垃圾转运。乙方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ind w:firstLine="480"/>
        <w:jc w:val="left"/>
      </w:pPr>
      <w:r>
        <w:rPr>
          <w:color w:val="000000"/>
          <w:sz w:val="24"/>
        </w:rPr>
        <w:t>（</w:t>
      </w:r>
      <w:r>
        <w:rPr>
          <w:color w:val="000000"/>
          <w:sz w:val="24"/>
        </w:rPr>
        <w:t>4）为保障员工的人身安全及意外保险，乙方必须按有关规定，为员工购买“</w:t>
      </w:r>
      <w:r>
        <w:rPr>
          <w:color w:val="000000"/>
          <w:sz w:val="24"/>
        </w:rPr>
        <w:t>保险</w:t>
      </w:r>
      <w:r>
        <w:rPr>
          <w:color w:val="000000"/>
          <w:sz w:val="24"/>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ind w:firstLine="480"/>
        <w:jc w:val="left"/>
      </w:pPr>
      <w:r>
        <w:rPr>
          <w:color w:val="000000"/>
          <w:sz w:val="24"/>
        </w:rPr>
        <w:t>（</w:t>
      </w:r>
      <w:r>
        <w:rPr>
          <w:color w:val="000000"/>
          <w:sz w:val="24"/>
        </w:rPr>
        <w:t>5）承包期间，乙方必须根据作业量的增加适时增加相应数量的作业人员、作业车辆和作业机械、工具等以满足作业的需要，确保保洁质量。</w:t>
      </w:r>
    </w:p>
    <w:p>
      <w:pPr>
        <w:ind w:firstLine="480"/>
        <w:jc w:val="left"/>
      </w:pPr>
      <w:r>
        <w:rPr>
          <w:color w:val="000000"/>
          <w:sz w:val="24"/>
        </w:rPr>
        <w:t>（</w:t>
      </w:r>
      <w:r>
        <w:rPr>
          <w:color w:val="000000"/>
          <w:sz w:val="24"/>
        </w:rPr>
        <w:t>6）承包期间，承包范围内果皮箱、垃圾桶及转运站内设施一律由乙方负责管护。</w:t>
      </w:r>
    </w:p>
    <w:p>
      <w:pPr>
        <w:ind w:firstLine="480"/>
        <w:jc w:val="left"/>
      </w:pPr>
      <w:r>
        <w:rPr>
          <w:color w:val="000000"/>
          <w:sz w:val="24"/>
        </w:rPr>
        <w:t>（</w:t>
      </w:r>
      <w:r>
        <w:rPr>
          <w:color w:val="000000"/>
          <w:sz w:val="24"/>
        </w:rPr>
        <w:t>7）乙方应做好日常车辆保养及维修工作，保持外观清洁、干净；车容整洁，车况良好，车身喷印清晰的承包单位名称、监督单位名称及投诉电话号码。上述车辆在非装卸垃圾时，应保持桶盖密闭，保证无飘散、无撒漏。</w:t>
      </w:r>
    </w:p>
    <w:p>
      <w:pPr>
        <w:ind w:firstLine="480"/>
        <w:jc w:val="left"/>
      </w:pPr>
      <w:r>
        <w:rPr>
          <w:color w:val="000000"/>
          <w:sz w:val="24"/>
        </w:rPr>
        <w:t>（</w:t>
      </w:r>
      <w:r>
        <w:rPr>
          <w:color w:val="000000"/>
          <w:sz w:val="24"/>
        </w:rPr>
        <w:t>8）乙方必须常年配备符合工作需要的垃圾收集容器，容器必须印有明显的公司名称和编号。</w:t>
      </w:r>
    </w:p>
    <w:p>
      <w:pPr>
        <w:ind w:firstLine="480"/>
        <w:jc w:val="left"/>
      </w:pPr>
      <w:r>
        <w:rPr>
          <w:color w:val="000000"/>
          <w:sz w:val="24"/>
        </w:rPr>
        <w:t>（</w:t>
      </w:r>
      <w:r>
        <w:rPr>
          <w:color w:val="000000"/>
          <w:sz w:val="24"/>
        </w:rPr>
        <w:t>9）未经甲方书面同意，乙方不得以转包、分包等形式转移管理服务的工作及义务。</w:t>
      </w:r>
    </w:p>
    <w:p>
      <w:pPr>
        <w:ind w:firstLine="480"/>
        <w:jc w:val="left"/>
      </w:pPr>
      <w:r>
        <w:rPr>
          <w:color w:val="000000"/>
          <w:sz w:val="24"/>
        </w:rPr>
        <w:t>（</w:t>
      </w:r>
      <w:r>
        <w:rPr>
          <w:color w:val="000000"/>
          <w:sz w:val="24"/>
        </w:rPr>
        <w:t>10）任何由乙方的管理工作而引起的纠纷或损毁事故一概由乙方负责解决并承担相关的民事与法律责任。</w:t>
      </w:r>
    </w:p>
    <w:p>
      <w:pPr>
        <w:ind w:firstLine="480"/>
        <w:jc w:val="left"/>
      </w:pPr>
      <w:r>
        <w:rPr>
          <w:color w:val="000000"/>
          <w:sz w:val="24"/>
        </w:rPr>
        <w:t>（</w:t>
      </w:r>
      <w:r>
        <w:rPr>
          <w:color w:val="000000"/>
          <w:sz w:val="24"/>
        </w:rPr>
        <w:t>11）必须无条件配合政府及有关部门举办的一切活动及协助处理应急事件。</w:t>
      </w:r>
    </w:p>
    <w:p>
      <w:pPr>
        <w:ind w:firstLine="480"/>
        <w:jc w:val="left"/>
      </w:pPr>
      <w:r>
        <w:rPr>
          <w:color w:val="000000"/>
          <w:sz w:val="24"/>
        </w:rPr>
        <w:t>（</w:t>
      </w:r>
      <w:r>
        <w:rPr>
          <w:color w:val="000000"/>
          <w:sz w:val="24"/>
        </w:rPr>
        <w:t>12）按时支付本项目服务人员的工资等费用。</w:t>
      </w:r>
    </w:p>
    <w:p>
      <w:pPr>
        <w:ind w:firstLine="480"/>
        <w:jc w:val="left"/>
      </w:pPr>
      <w:r>
        <w:rPr>
          <w:color w:val="000000"/>
          <w:sz w:val="24"/>
        </w:rPr>
        <w:t>十、违约责任：</w:t>
      </w:r>
    </w:p>
    <w:p>
      <w:pPr>
        <w:ind w:firstLine="480"/>
        <w:jc w:val="left"/>
      </w:pPr>
      <w:r>
        <w:rPr>
          <w:color w:val="000000"/>
          <w:sz w:val="24"/>
        </w:rPr>
        <w:t>1、 如发现乙方在本项目实施过程中存在资质挂靠、转包及出现其他违规现象，甲方有权解除本合同，且甲方对乙方的一切损失不负任何责任,甲方有权按下列通讯地址：向乙方发出解除合同的书面通知后五个工作日内解除本合同。</w:t>
      </w:r>
    </w:p>
    <w:p>
      <w:pPr>
        <w:ind w:firstLine="480"/>
        <w:jc w:val="left"/>
      </w:pPr>
      <w:r>
        <w:rPr>
          <w:color w:val="000000"/>
          <w:sz w:val="24"/>
        </w:rPr>
        <w:t>2、如因乙方提供的服务质量问题，造成甲方损失，乙方应承担全部责任。</w:t>
      </w:r>
    </w:p>
    <w:p>
      <w:pPr>
        <w:ind w:firstLine="480"/>
        <w:jc w:val="left"/>
      </w:pPr>
      <w:r>
        <w:rPr>
          <w:color w:val="000000"/>
          <w:sz w:val="24"/>
        </w:rPr>
        <w:t>3、 本项目</w:t>
      </w:r>
      <w:r>
        <w:rPr>
          <w:color w:val="000000"/>
          <w:sz w:val="24"/>
        </w:rPr>
        <w:t>保洁经费</w:t>
      </w:r>
      <w:r>
        <w:rPr>
          <w:color w:val="000000"/>
          <w:sz w:val="24"/>
        </w:rPr>
        <w:t>属财政性资金</w:t>
      </w:r>
      <w:r>
        <w:rPr>
          <w:color w:val="000000"/>
          <w:sz w:val="24"/>
        </w:rPr>
        <w:t>,如因政策性影响或拨款未能及时到位, 乙方不得以此为由拖慢或不履行合同义务。甲方有责任最迟在2个月内协调资金到位。</w:t>
      </w:r>
    </w:p>
    <w:p>
      <w:pPr>
        <w:ind w:firstLine="480"/>
        <w:jc w:val="left"/>
      </w:pPr>
      <w:r>
        <w:rPr>
          <w:color w:val="000000"/>
          <w:sz w:val="24"/>
        </w:rPr>
        <w:t>4、其他违约责任按</w:t>
      </w:r>
      <w:r>
        <w:rPr>
          <w:color w:val="000000"/>
          <w:sz w:val="24"/>
        </w:rPr>
        <w:t>《中华人民共和国民法典》</w:t>
      </w:r>
      <w:r>
        <w:rPr>
          <w:color w:val="000000"/>
          <w:sz w:val="24"/>
        </w:rPr>
        <w:t>处理。</w:t>
      </w:r>
    </w:p>
    <w:p>
      <w:pPr>
        <w:ind w:firstLine="480"/>
        <w:jc w:val="left"/>
      </w:pPr>
      <w:r>
        <w:rPr>
          <w:color w:val="000000"/>
          <w:sz w:val="24"/>
        </w:rPr>
        <w:t>十</w:t>
      </w:r>
      <w:r>
        <w:rPr>
          <w:color w:val="000000"/>
          <w:sz w:val="24"/>
        </w:rPr>
        <w:t>一</w:t>
      </w:r>
      <w:r>
        <w:rPr>
          <w:color w:val="000000"/>
          <w:sz w:val="24"/>
        </w:rPr>
        <w:t>、合同的解除：</w:t>
      </w:r>
    </w:p>
    <w:p>
      <w:pPr>
        <w:ind w:firstLine="480"/>
        <w:jc w:val="both"/>
      </w:pPr>
      <w:r>
        <w:rPr>
          <w:color w:val="000000"/>
          <w:sz w:val="24"/>
        </w:rPr>
        <w:t>如果出现以下现象之一，甲方有权终止合同，及要求乙方赔偿甲方损失。</w:t>
      </w:r>
    </w:p>
    <w:p>
      <w:pPr>
        <w:ind w:firstLine="480"/>
        <w:jc w:val="both"/>
      </w:pPr>
      <w:r>
        <w:rPr>
          <w:color w:val="000000"/>
          <w:sz w:val="24"/>
        </w:rPr>
        <w:t>1、若乙方在服务期内累计出现4次以上（含4次）月考核评分低于65分或连续3个月的得分在65分以下的，甲方有权终止和乙方签订的合同，并没收乙方的履约保证金。</w:t>
      </w:r>
    </w:p>
    <w:p>
      <w:pPr>
        <w:ind w:firstLine="480"/>
        <w:jc w:val="both"/>
      </w:pPr>
      <w:r>
        <w:rPr>
          <w:color w:val="000000"/>
          <w:sz w:val="24"/>
        </w:rPr>
        <w:t>2、乙方在服务期间因管理不善导致出现安全事故，并在社会上造成不良影响及严重后果的。</w:t>
      </w:r>
    </w:p>
    <w:p>
      <w:pPr>
        <w:ind w:firstLine="480"/>
        <w:jc w:val="both"/>
      </w:pPr>
      <w:r>
        <w:rPr>
          <w:color w:val="000000"/>
          <w:sz w:val="24"/>
        </w:rPr>
        <w:t>3、任何由乙方的管理工作而引起的劳资纠纷问题影响正常作业的，甲方有权另行聘请人员确保正常保洁工作，所产生的费用在承包费中相应扣减。情节严重的，甲方有权解除本合同。</w:t>
      </w:r>
    </w:p>
    <w:p>
      <w:pPr>
        <w:ind w:firstLine="480"/>
        <w:jc w:val="both"/>
      </w:pPr>
      <w:r>
        <w:rPr>
          <w:color w:val="000000"/>
          <w:sz w:val="24"/>
        </w:rPr>
        <w:t>4、按项目所在地城市管理和综合执法部门办理从事城市生活垃圾经营性清扫、收集、运输服务审批许可证（若有须办理）。</w:t>
      </w:r>
    </w:p>
    <w:p>
      <w:pPr>
        <w:ind w:firstLine="480"/>
        <w:jc w:val="both"/>
      </w:pPr>
      <w:r>
        <w:rPr>
          <w:color w:val="000000"/>
          <w:sz w:val="24"/>
        </w:rPr>
        <w:t>5、任何一方如遇不可抗力事件而丧失履约能力的，本合同自行解除。</w:t>
      </w:r>
    </w:p>
    <w:p>
      <w:pPr>
        <w:ind w:firstLine="480"/>
        <w:jc w:val="both"/>
      </w:pPr>
      <w:r>
        <w:rPr>
          <w:color w:val="000000"/>
          <w:sz w:val="24"/>
        </w:rPr>
        <w:t>6、乙方如有下列情况之一发生，甲方有权单方面解除合同：</w:t>
      </w:r>
    </w:p>
    <w:p>
      <w:pPr>
        <w:ind w:firstLine="480"/>
        <w:jc w:val="both"/>
      </w:pPr>
      <w:r>
        <w:rPr>
          <w:color w:val="000000"/>
          <w:sz w:val="24"/>
        </w:rPr>
        <w:t>A．不履行合同约定义务的；</w:t>
      </w:r>
    </w:p>
    <w:p>
      <w:pPr>
        <w:ind w:firstLine="480"/>
        <w:jc w:val="both"/>
      </w:pPr>
      <w:r>
        <w:rPr>
          <w:color w:val="000000"/>
          <w:sz w:val="24"/>
        </w:rPr>
        <w:t>B．因破产或无清偿能力的。</w:t>
      </w:r>
    </w:p>
    <w:p>
      <w:pPr>
        <w:ind w:firstLine="480"/>
        <w:jc w:val="left"/>
      </w:pPr>
      <w:r>
        <w:rPr>
          <w:color w:val="000000"/>
          <w:sz w:val="24"/>
        </w:rPr>
        <w:t>十</w:t>
      </w:r>
      <w:r>
        <w:rPr>
          <w:color w:val="000000"/>
          <w:sz w:val="24"/>
        </w:rPr>
        <w:t>二</w:t>
      </w:r>
      <w:r>
        <w:rPr>
          <w:color w:val="000000"/>
          <w:sz w:val="24"/>
        </w:rPr>
        <w:t>、</w:t>
      </w:r>
      <w:r>
        <w:rPr>
          <w:color w:val="000000"/>
          <w:sz w:val="24"/>
        </w:rPr>
        <w:t>争议的解决</w:t>
      </w:r>
    </w:p>
    <w:p>
      <w:pPr>
        <w:ind w:firstLine="480"/>
        <w:jc w:val="left"/>
      </w:pPr>
      <w:r>
        <w:rPr>
          <w:color w:val="000000"/>
          <w:sz w:val="24"/>
        </w:rPr>
        <w:t>合同执行过程中发生的任何争议，如双方不能通过友好协商解决，可向甲方所在地人民法院提起诉讼。</w:t>
      </w:r>
    </w:p>
    <w:p>
      <w:pPr>
        <w:ind w:firstLine="480"/>
        <w:jc w:val="left"/>
      </w:pPr>
      <w:r>
        <w:rPr>
          <w:color w:val="000000"/>
          <w:sz w:val="24"/>
        </w:rPr>
        <w:t>十</w:t>
      </w:r>
      <w:r>
        <w:rPr>
          <w:color w:val="000000"/>
          <w:sz w:val="24"/>
        </w:rPr>
        <w:t>三</w:t>
      </w:r>
      <w:r>
        <w:rPr>
          <w:color w:val="000000"/>
          <w:sz w:val="24"/>
        </w:rPr>
        <w:t>、不可抗力：任何一方由于不可抗力原因不能履行合同时，应在不可抗力事件结束后</w:t>
      </w:r>
      <w:r>
        <w:rPr>
          <w:color w:val="000000"/>
          <w:sz w:val="24"/>
        </w:rPr>
        <w:t>1 日内向对方通报，以减轻可能给对方造成的损失，在取得有关机构的不可抗力证明或双方谅解确认后，允许延期履行或修订合同，并根据情况可部分或全部免于承担违约责任。</w:t>
      </w:r>
    </w:p>
    <w:p>
      <w:pPr>
        <w:ind w:firstLine="480"/>
        <w:jc w:val="left"/>
      </w:pPr>
      <w:r>
        <w:rPr>
          <w:color w:val="000000"/>
          <w:sz w:val="24"/>
        </w:rPr>
        <w:t>十</w:t>
      </w:r>
      <w:r>
        <w:rPr>
          <w:color w:val="000000"/>
          <w:sz w:val="24"/>
        </w:rPr>
        <w:t>四</w:t>
      </w:r>
      <w:r>
        <w:rPr>
          <w:color w:val="000000"/>
          <w:sz w:val="24"/>
        </w:rPr>
        <w:t>、税费：本合同执行有关的一切税费均由乙方负担。</w:t>
      </w:r>
    </w:p>
    <w:p>
      <w:pPr>
        <w:ind w:firstLine="480"/>
        <w:jc w:val="left"/>
      </w:pPr>
      <w:r>
        <w:rPr>
          <w:color w:val="000000"/>
          <w:sz w:val="24"/>
        </w:rPr>
        <w:t>十</w:t>
      </w:r>
      <w:r>
        <w:rPr>
          <w:color w:val="000000"/>
          <w:sz w:val="24"/>
        </w:rPr>
        <w:t>五</w:t>
      </w:r>
      <w:r>
        <w:rPr>
          <w:color w:val="000000"/>
          <w:sz w:val="24"/>
        </w:rPr>
        <w:t>、本合同未尽事宜，双方可签订补充协议作为附件，补充协议与本合同具有同等效力。</w:t>
      </w:r>
    </w:p>
    <w:p>
      <w:pPr>
        <w:ind w:firstLine="480"/>
        <w:jc w:val="left"/>
      </w:pPr>
      <w:r>
        <w:rPr>
          <w:color w:val="000000"/>
          <w:sz w:val="24"/>
        </w:rPr>
        <w:t>十</w:t>
      </w:r>
      <w:r>
        <w:rPr>
          <w:color w:val="000000"/>
          <w:sz w:val="24"/>
        </w:rPr>
        <w:t>六</w:t>
      </w:r>
      <w:r>
        <w:rPr>
          <w:color w:val="000000"/>
          <w:sz w:val="24"/>
        </w:rPr>
        <w:t>、其他</w:t>
      </w:r>
    </w:p>
    <w:p>
      <w:pPr>
        <w:ind w:firstLine="480"/>
        <w:jc w:val="left"/>
      </w:pPr>
      <w:r>
        <w:rPr>
          <w:color w:val="000000"/>
          <w:sz w:val="24"/>
        </w:rPr>
        <w:t>1、本合同所有附件、</w:t>
      </w:r>
      <w:r>
        <w:rPr>
          <w:color w:val="000000"/>
          <w:sz w:val="24"/>
        </w:rPr>
        <w:t>磋商文件</w:t>
      </w:r>
      <w:r>
        <w:rPr>
          <w:color w:val="000000"/>
          <w:sz w:val="24"/>
        </w:rPr>
        <w:t>、</w:t>
      </w:r>
      <w:r>
        <w:rPr>
          <w:color w:val="000000"/>
          <w:sz w:val="24"/>
        </w:rPr>
        <w:t>响应文件</w:t>
      </w:r>
      <w:r>
        <w:rPr>
          <w:color w:val="000000"/>
          <w:sz w:val="24"/>
        </w:rPr>
        <w:t>、中标</w:t>
      </w:r>
      <w:r>
        <w:rPr>
          <w:color w:val="000000"/>
          <w:sz w:val="24"/>
        </w:rPr>
        <w:t>/成交</w:t>
      </w:r>
      <w:r>
        <w:rPr>
          <w:color w:val="000000"/>
          <w:sz w:val="24"/>
        </w:rPr>
        <w:t>通知书均为合同的有效组成部分，与本合同具有同等法律效力。</w:t>
      </w:r>
    </w:p>
    <w:p>
      <w:pPr>
        <w:ind w:firstLine="480"/>
        <w:jc w:val="left"/>
      </w:pPr>
      <w:r>
        <w:rPr>
          <w:color w:val="000000"/>
          <w:sz w:val="24"/>
        </w:rPr>
        <w:t>2、在执行本合同的过程中，所有经双方签署确认的文件（包括会议纪要、补充协议、往来信函）即成为本合同的有效组成部分。</w:t>
      </w:r>
    </w:p>
    <w:p>
      <w:pPr>
        <w:ind w:firstLine="480"/>
        <w:jc w:val="left"/>
      </w:pPr>
      <w:r>
        <w:rPr>
          <w:color w:val="000000"/>
          <w:sz w:val="24"/>
        </w:rPr>
        <w:t>3、 如一方地址、电话、传真号码有变更，应在变更当日内书面通知对方，否则，应承担相应责任。</w:t>
      </w:r>
    </w:p>
    <w:p>
      <w:pPr>
        <w:ind w:firstLine="480"/>
        <w:jc w:val="left"/>
      </w:pPr>
      <w:r>
        <w:rPr>
          <w:color w:val="000000"/>
          <w:sz w:val="24"/>
        </w:rPr>
        <w:t>4、除甲方事先书面同意外，乙方不得部分或全部转让其应履行的合同项下的义务。</w:t>
      </w:r>
    </w:p>
    <w:p>
      <w:pPr>
        <w:ind w:firstLine="480"/>
        <w:jc w:val="left"/>
      </w:pPr>
      <w:r>
        <w:rPr>
          <w:color w:val="000000"/>
          <w:sz w:val="24"/>
        </w:rPr>
        <w:t>十七</w:t>
      </w:r>
      <w:r>
        <w:rPr>
          <w:color w:val="000000"/>
          <w:sz w:val="24"/>
        </w:rPr>
        <w:t>、合同生效</w:t>
      </w:r>
    </w:p>
    <w:p>
      <w:pPr>
        <w:ind w:firstLine="480"/>
        <w:jc w:val="left"/>
      </w:pPr>
      <w:r>
        <w:rPr>
          <w:color w:val="000000"/>
          <w:sz w:val="24"/>
        </w:rPr>
        <w:t>1、本合同在甲乙双方代表人签字盖章后生效。</w:t>
      </w:r>
    </w:p>
    <w:p>
      <w:pPr>
        <w:ind w:firstLine="480"/>
        <w:jc w:val="left"/>
      </w:pPr>
      <w:r>
        <w:rPr>
          <w:color w:val="000000"/>
          <w:sz w:val="24"/>
        </w:rPr>
        <w:t>2、本合同一式六份，甲乙双方各执两份，并各送一份至汕头市澄海区政府采购管理办公室、采购代理机构备案，六份均具同等法律效力。</w:t>
      </w:r>
    </w:p>
    <w:p>
      <w:pPr>
        <w:jc w:val="left"/>
      </w:pPr>
      <w:r>
        <w:rPr>
          <w:color w:val="000000"/>
          <w:sz w:val="24"/>
        </w:rPr>
        <w:t>本页为签署页，下无正文。</w:t>
      </w:r>
    </w:p>
    <w:p>
      <w:pPr>
        <w:ind w:firstLine="480"/>
        <w:jc w:val="left"/>
      </w:pPr>
    </w:p>
    <w:p>
      <w:pPr>
        <w:ind w:firstLine="480"/>
        <w:jc w:val="left"/>
      </w:pPr>
    </w:p>
    <w:p>
      <w:pPr>
        <w:ind w:firstLine="480"/>
        <w:jc w:val="left"/>
      </w:pPr>
      <w:r>
        <w:rPr>
          <w:color w:val="000000"/>
          <w:sz w:val="24"/>
        </w:rPr>
        <w:t>甲方（盖章）：</w:t>
      </w:r>
      <w:r>
        <w:rPr>
          <w:color w:val="000000"/>
          <w:sz w:val="24"/>
        </w:rPr>
        <w:t xml:space="preserve">              </w:t>
      </w:r>
      <w:r>
        <w:rPr>
          <w:sz w:val="21"/>
        </w:rPr>
        <w:t xml:space="preserve">    </w:t>
      </w:r>
      <w:r>
        <w:rPr>
          <w:color w:val="000000"/>
          <w:sz w:val="24"/>
        </w:rPr>
        <w:t>乙方（盖章）：</w:t>
      </w:r>
    </w:p>
    <w:p>
      <w:pPr>
        <w:ind w:firstLine="480"/>
        <w:jc w:val="left"/>
      </w:pPr>
      <w:r>
        <w:rPr>
          <w:color w:val="000000"/>
          <w:sz w:val="24"/>
        </w:rPr>
        <w:t>代表人（签字）：</w:t>
      </w:r>
      <w:r>
        <w:rPr>
          <w:color w:val="000000"/>
          <w:sz w:val="24"/>
        </w:rPr>
        <w:t xml:space="preserve">            </w:t>
      </w:r>
      <w:r>
        <w:rPr>
          <w:sz w:val="21"/>
        </w:rPr>
        <w:t xml:space="preserve">    </w:t>
      </w:r>
      <w:r>
        <w:rPr>
          <w:color w:val="000000"/>
          <w:sz w:val="24"/>
        </w:rPr>
        <w:t>代表人（签字）：</w:t>
      </w:r>
    </w:p>
    <w:p>
      <w:pPr>
        <w:ind w:firstLine="480"/>
        <w:jc w:val="left"/>
      </w:pP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r>
        <w:rPr>
          <w:color w:val="000000"/>
          <w:sz w:val="24"/>
        </w:rPr>
        <w:t xml:space="preserve">    </w:t>
      </w:r>
      <w:r>
        <w:rPr>
          <w:sz w:val="21"/>
        </w:rPr>
        <w:t xml:space="preserve">    </w:t>
      </w: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ind w:firstLine="480"/>
        <w:jc w:val="left"/>
      </w:pPr>
      <w:r>
        <w:rPr>
          <w:color w:val="000000"/>
          <w:sz w:val="24"/>
        </w:rPr>
        <w:t>签定地点：</w:t>
      </w:r>
      <w:r>
        <w:rPr>
          <w:color w:val="000000"/>
          <w:sz w:val="24"/>
        </w:rPr>
        <w:t xml:space="preserve">                  </w:t>
      </w:r>
      <w:r>
        <w:rPr>
          <w:sz w:val="21"/>
        </w:rPr>
        <w:t xml:space="preserve">    </w:t>
      </w:r>
      <w:r>
        <w:rPr>
          <w:color w:val="000000"/>
          <w:sz w:val="24"/>
        </w:rPr>
        <w:t>签定地点：</w:t>
      </w:r>
    </w:p>
    <w:p>
      <w:pPr>
        <w:ind w:firstLine="480"/>
        <w:jc w:val="left"/>
      </w:pPr>
      <w:r>
        <w:rPr>
          <w:color w:val="000000"/>
          <w:sz w:val="24"/>
        </w:rPr>
        <w:t>开户名称：</w:t>
      </w:r>
      <w:r>
        <w:rPr>
          <w:color w:val="000000"/>
          <w:sz w:val="24"/>
        </w:rPr>
        <w:t xml:space="preserve">                  </w:t>
      </w:r>
      <w:r>
        <w:rPr>
          <w:sz w:val="21"/>
        </w:rPr>
        <w:t xml:space="preserve">    </w:t>
      </w:r>
      <w:r>
        <w:rPr>
          <w:color w:val="000000"/>
          <w:sz w:val="24"/>
        </w:rPr>
        <w:t>开户名称：</w:t>
      </w:r>
    </w:p>
    <w:p>
      <w:pPr>
        <w:ind w:firstLine="480"/>
        <w:jc w:val="left"/>
      </w:pPr>
      <w:r>
        <w:rPr>
          <w:color w:val="000000"/>
          <w:sz w:val="24"/>
        </w:rPr>
        <w:t>银行帐号：</w:t>
      </w:r>
      <w:r>
        <w:rPr>
          <w:color w:val="000000"/>
          <w:sz w:val="24"/>
        </w:rPr>
        <w:t xml:space="preserve">                 </w:t>
      </w:r>
      <w:r>
        <w:rPr>
          <w:sz w:val="21"/>
        </w:rPr>
        <w:t xml:space="preserve">    </w:t>
      </w:r>
      <w:r>
        <w:rPr>
          <w:color w:val="000000"/>
          <w:sz w:val="24"/>
        </w:rPr>
        <w:t xml:space="preserve"> </w:t>
      </w:r>
      <w:r>
        <w:rPr>
          <w:color w:val="000000"/>
          <w:sz w:val="24"/>
        </w:rPr>
        <w:t>银行帐号：</w:t>
      </w:r>
    </w:p>
    <w:p>
      <w:pPr>
        <w:ind w:firstLine="480"/>
        <w:jc w:val="left"/>
      </w:pPr>
      <w:r>
        <w:rPr>
          <w:color w:val="000000"/>
          <w:sz w:val="24"/>
        </w:rPr>
        <w:t>开户行：</w:t>
      </w:r>
      <w:r>
        <w:rPr>
          <w:color w:val="000000"/>
          <w:sz w:val="24"/>
        </w:rPr>
        <w:t xml:space="preserve">                   </w:t>
      </w:r>
      <w:r>
        <w:rPr>
          <w:sz w:val="21"/>
        </w:rPr>
        <w:t xml:space="preserve">    </w:t>
      </w:r>
      <w:r>
        <w:rPr>
          <w:color w:val="000000"/>
          <w:sz w:val="24"/>
        </w:rPr>
        <w:t xml:space="preserve"> </w:t>
      </w:r>
      <w:r>
        <w:rPr>
          <w:color w:val="000000"/>
          <w:sz w:val="24"/>
        </w:rPr>
        <w:t>开户行：</w:t>
      </w:r>
    </w:p>
    <w:p>
      <w:pPr>
        <w:jc w:val="both"/>
      </w:pPr>
    </w:p>
    <w:p>
      <w:pPr>
        <w:jc w:val="both"/>
      </w:pPr>
    </w:p>
    <w:p>
      <w:pPr>
        <w:ind w:firstLine="482"/>
        <w:jc w:val="both"/>
      </w:pPr>
      <w:r>
        <w:rPr>
          <w:b/>
          <w:color w:val="000000"/>
          <w:sz w:val="24"/>
        </w:rPr>
        <w:t>附件：汕头市澄海区环卫管理检查考核评价标准（莱芜管委）</w:t>
      </w:r>
    </w:p>
    <w:tbl>
      <w:tblPr>
        <w:tblW w:w="0" w:type="auto"/>
        <w:tblBorders>
          <w:top w:val="none" w:color="000000" w:sz="4"/>
          <w:left w:val="none" w:color="000000" w:sz="4"/>
          <w:bottom w:val="none" w:color="000000" w:sz="4"/>
          <w:right w:val="none" w:color="000000" w:sz="4"/>
          <w:insideH w:val="none"/>
          <w:insideV w:val="none"/>
        </w:tblBorders>
      </w:tblPr>
      <w:tblGrid>
        <w:gridCol w:w="509"/>
        <w:gridCol w:w="584"/>
        <w:gridCol w:w="696"/>
        <w:gridCol w:w="3270"/>
        <w:gridCol w:w="683"/>
        <w:gridCol w:w="683"/>
        <w:gridCol w:w="783"/>
        <w:gridCol w:w="1044"/>
      </w:tblGrid>
      <w:tr>
        <w:tc>
          <w:tcPr>
            <w:tcW w:type="dxa" w:w="1789"/>
            <w:gridSpan w:val="3"/>
            <w:tcBorders>
              <w:top w:val="none" w:color="000000" w:sz="4"/>
              <w:left w:val="none" w:color="000000" w:sz="4"/>
              <w:bottom w:val="single" w:color="000000" w:sz="4"/>
              <w:right w:val="none" w:color="000000" w:sz="4"/>
            </w:tcBorders>
            <w:vAlign w:val="top"/>
          </w:tcPr>
          <w:p>
            <w:pPr>
              <w:jc w:val="left"/>
            </w:pPr>
            <w:r>
              <w:rPr>
                <w:color w:val="000000"/>
                <w:sz w:val="20"/>
              </w:rPr>
              <w:t>被检查考核单位：</w:t>
            </w:r>
          </w:p>
        </w:tc>
        <w:tc>
          <w:tcPr>
            <w:tcW w:type="dxa" w:w="3270"/>
            <w:tcBorders>
              <w:top w:val="none" w:color="000000" w:sz="4"/>
              <w:left w:val="none" w:color="000000" w:sz="4"/>
              <w:bottom w:val="none" w:color="000000" w:sz="4"/>
              <w:right w:val="none" w:color="000000" w:sz="4"/>
            </w:tcBorders>
            <w:vAlign w:val="top"/>
          </w:tcPr>
          <w:p>
            <w:pPr>
              <w:jc w:val="center"/>
            </w:pPr>
          </w:p>
        </w:tc>
        <w:tc>
          <w:tcPr>
            <w:tcW w:type="dxa" w:w="683"/>
            <w:tcBorders>
              <w:top w:val="none" w:color="000000" w:sz="4"/>
              <w:left w:val="none" w:color="000000" w:sz="4"/>
              <w:bottom w:val="none" w:color="000000" w:sz="4"/>
              <w:right w:val="none" w:color="000000" w:sz="4"/>
            </w:tcBorders>
            <w:vAlign w:val="top"/>
          </w:tcPr>
          <w:p>
            <w:pPr>
              <w:jc w:val="center"/>
            </w:pPr>
          </w:p>
        </w:tc>
        <w:tc>
          <w:tcPr>
            <w:tcW w:type="dxa" w:w="683"/>
            <w:tcBorders>
              <w:top w:val="none" w:color="000000" w:sz="4"/>
              <w:left w:val="none" w:color="000000" w:sz="4"/>
              <w:bottom w:val="none" w:color="000000" w:sz="4"/>
              <w:right w:val="none" w:color="000000" w:sz="4"/>
            </w:tcBorders>
            <w:vAlign w:val="top"/>
          </w:tcPr>
          <w:p>
            <w:pPr>
              <w:jc w:val="center"/>
            </w:pPr>
          </w:p>
        </w:tc>
        <w:tc>
          <w:tcPr>
            <w:tcW w:type="dxa" w:w="1827"/>
            <w:gridSpan w:val="2"/>
            <w:tcBorders>
              <w:top w:val="none" w:color="000000" w:sz="4"/>
              <w:left w:val="none" w:color="000000" w:sz="4"/>
              <w:bottom w:val="none" w:color="000000" w:sz="4"/>
              <w:right w:val="none" w:color="000000" w:sz="4"/>
            </w:tcBorders>
            <w:vAlign w:val="top"/>
          </w:tcPr>
          <w:p>
            <w:pPr>
              <w:jc w:val="right"/>
            </w:pPr>
            <w:r>
              <w:rPr>
                <w:sz w:val="21"/>
              </w:rPr>
              <w:t xml:space="preserve">  </w:t>
            </w:r>
            <w:r>
              <w:rPr>
                <w:color w:val="000000"/>
                <w:sz w:val="20"/>
              </w:rPr>
              <w:t>年</w:t>
            </w:r>
            <w:r>
              <w:rPr>
                <w:color w:val="000000"/>
                <w:sz w:val="20"/>
              </w:rPr>
              <w:t xml:space="preserve"> </w:t>
            </w:r>
            <w:r>
              <w:rPr>
                <w:color w:val="000000"/>
                <w:sz w:val="20"/>
              </w:rPr>
              <w:t>月</w:t>
            </w:r>
            <w:r>
              <w:rPr>
                <w:color w:val="000000"/>
                <w:sz w:val="20"/>
              </w:rPr>
              <w:t xml:space="preserve">  </w:t>
            </w:r>
            <w:r>
              <w:rPr>
                <w:color w:val="000000"/>
                <w:sz w:val="20"/>
              </w:rPr>
              <w:t>日</w:t>
            </w:r>
          </w:p>
        </w:tc>
      </w:tr>
      <w:tr>
        <w:tc>
          <w:tcPr>
            <w:tcW w:type="dxa" w:w="1093"/>
            <w:gridSpan w:val="2"/>
            <w:tcBorders>
              <w:top w:val="none" w:color="000000" w:sz="4"/>
              <w:left w:val="single" w:color="000000" w:sz="4"/>
              <w:bottom w:val="single" w:color="000000" w:sz="4"/>
              <w:right w:val="single" w:color="000000" w:sz="4"/>
            </w:tcBorders>
            <w:vAlign w:val="top"/>
          </w:tcPr>
          <w:p>
            <w:pPr>
              <w:jc w:val="center"/>
            </w:pPr>
            <w:r>
              <w:rPr>
                <w:b/>
                <w:color w:val="000000"/>
                <w:sz w:val="20"/>
              </w:rPr>
              <w:t>评价项目</w:t>
            </w:r>
          </w:p>
        </w:tc>
        <w:tc>
          <w:tcPr>
            <w:tcW w:type="dxa" w:w="696"/>
            <w:tcBorders>
              <w:top w:val="none" w:color="000000" w:sz="4"/>
              <w:left w:val="none" w:color="000000" w:sz="4"/>
              <w:bottom w:val="single" w:color="000000" w:sz="4"/>
              <w:right w:val="single" w:color="000000" w:sz="4"/>
            </w:tcBorders>
            <w:vAlign w:val="top"/>
          </w:tcPr>
          <w:p>
            <w:pPr>
              <w:jc w:val="center"/>
            </w:pPr>
            <w:r>
              <w:rPr>
                <w:b/>
                <w:color w:val="000000"/>
                <w:sz w:val="20"/>
              </w:rPr>
              <w:t>分值</w:t>
            </w:r>
          </w:p>
        </w:tc>
        <w:tc>
          <w:tcPr>
            <w:tcW w:type="dxa" w:w="3270"/>
            <w:vMerge w:val="restart"/>
            <w:tcBorders>
              <w:top w:val="single" w:color="000000" w:sz="4"/>
              <w:left w:val="none" w:color="000000" w:sz="4"/>
              <w:bottom w:val="single" w:color="000000" w:sz="4"/>
              <w:right w:val="single" w:color="000000" w:sz="4"/>
            </w:tcBorders>
            <w:vAlign w:val="top"/>
          </w:tcPr>
          <w:p>
            <w:pPr>
              <w:jc w:val="center"/>
            </w:pPr>
            <w:r>
              <w:rPr>
                <w:b/>
                <w:color w:val="000000"/>
                <w:sz w:val="20"/>
              </w:rPr>
              <w:t>评分标准和扣分依据</w:t>
            </w:r>
          </w:p>
        </w:tc>
        <w:tc>
          <w:tcPr>
            <w:tcW w:type="dxa" w:w="683"/>
            <w:tcBorders>
              <w:top w:val="single" w:color="000000" w:sz="4"/>
              <w:left w:val="none" w:color="000000" w:sz="4"/>
              <w:bottom w:val="single" w:color="000000" w:sz="4"/>
              <w:right w:val="single" w:color="000000" w:sz="4"/>
            </w:tcBorders>
            <w:vAlign w:val="top"/>
          </w:tcPr>
          <w:p>
            <w:pPr>
              <w:jc w:val="center"/>
            </w:pPr>
            <w:r>
              <w:rPr>
                <w:b/>
                <w:color w:val="000000"/>
                <w:sz w:val="20"/>
              </w:rPr>
              <w:t>得分</w:t>
            </w:r>
          </w:p>
        </w:tc>
        <w:tc>
          <w:tcPr>
            <w:tcW w:type="dxa" w:w="683"/>
            <w:tcBorders>
              <w:top w:val="single" w:color="000000" w:sz="4"/>
              <w:left w:val="none" w:color="000000" w:sz="4"/>
              <w:bottom w:val="single" w:color="000000" w:sz="4"/>
              <w:right w:val="single" w:color="000000" w:sz="4"/>
            </w:tcBorders>
            <w:vAlign w:val="top"/>
          </w:tcPr>
          <w:p>
            <w:pPr>
              <w:jc w:val="center"/>
            </w:pPr>
            <w:r>
              <w:rPr>
                <w:b/>
                <w:color w:val="000000"/>
                <w:sz w:val="20"/>
              </w:rPr>
              <w:t>评价分</w:t>
            </w:r>
          </w:p>
        </w:tc>
        <w:tc>
          <w:tcPr>
            <w:tcW w:type="dxa" w:w="783"/>
            <w:vMerge w:val="restart"/>
            <w:tcBorders>
              <w:top w:val="single" w:color="000000" w:sz="4"/>
              <w:left w:val="none" w:color="000000" w:sz="4"/>
              <w:bottom w:val="single" w:color="000000" w:sz="4"/>
              <w:right w:val="single" w:color="000000" w:sz="4"/>
            </w:tcBorders>
            <w:vAlign w:val="top"/>
          </w:tcPr>
          <w:p>
            <w:pPr>
              <w:jc w:val="center"/>
            </w:pPr>
            <w:r>
              <w:rPr>
                <w:b/>
                <w:color w:val="000000"/>
                <w:sz w:val="20"/>
              </w:rPr>
              <w:t>具体位置及违反标准情况</w:t>
            </w:r>
          </w:p>
        </w:tc>
        <w:tc>
          <w:tcPr>
            <w:tcW w:type="dxa" w:w="1044"/>
            <w:vMerge w:val="restart"/>
            <w:tcBorders>
              <w:top w:val="single" w:color="000000" w:sz="4"/>
              <w:left w:val="none" w:color="000000" w:sz="4"/>
              <w:bottom w:val="single" w:color="000000" w:sz="4"/>
              <w:right w:val="single" w:color="000000" w:sz="4"/>
            </w:tcBorders>
            <w:vAlign w:val="top"/>
          </w:tcPr>
          <w:p>
            <w:pPr>
              <w:jc w:val="center"/>
            </w:pPr>
            <w:r>
              <w:rPr>
                <w:b/>
                <w:color w:val="000000"/>
                <w:sz w:val="20"/>
              </w:rPr>
              <w:t>评价分备注（差</w:t>
            </w:r>
            <w:r>
              <w:rPr>
                <w:b/>
                <w:color w:val="000000"/>
                <w:sz w:val="20"/>
              </w:rPr>
              <w:t>60%以下，60%-85%为中，85%以上为好）</w:t>
            </w:r>
          </w:p>
        </w:tc>
      </w:tr>
      <w:tr>
        <w:tc>
          <w:tcPr>
            <w:tcW w:type="dxa" w:w="1093"/>
            <w:gridSpan w:val="2"/>
            <w:tcBorders>
              <w:top w:val="none" w:color="000000" w:sz="4"/>
              <w:left w:val="single" w:color="000000" w:sz="4"/>
              <w:bottom w:val="single" w:color="000000" w:sz="4"/>
              <w:right w:val="single" w:color="000000" w:sz="4"/>
            </w:tcBorders>
            <w:vAlign w:val="top"/>
          </w:tcPr>
          <w:p>
            <w:pPr>
              <w:jc w:val="center"/>
            </w:pPr>
            <w:r>
              <w:rPr>
                <w:b/>
                <w:color w:val="000000"/>
                <w:sz w:val="20"/>
              </w:rPr>
              <w:t>总分</w:t>
            </w:r>
          </w:p>
        </w:tc>
        <w:tc>
          <w:tcPr>
            <w:tcW w:type="dxa" w:w="696"/>
            <w:tcBorders>
              <w:top w:val="none" w:color="000000" w:sz="4"/>
              <w:left w:val="none" w:color="000000" w:sz="4"/>
              <w:bottom w:val="single" w:color="000000" w:sz="4"/>
              <w:right w:val="single" w:color="000000" w:sz="4"/>
            </w:tcBorders>
            <w:vAlign w:val="top"/>
          </w:tcPr>
          <w:p>
            <w:pPr>
              <w:jc w:val="center"/>
            </w:pPr>
            <w:r>
              <w:rPr>
                <w:b/>
                <w:color w:val="000000"/>
                <w:sz w:val="20"/>
              </w:rPr>
              <w:t>100</w:t>
            </w:r>
          </w:p>
        </w:tc>
        <w:tc>
          <w:tcPr>
            <w:tcW w:type="dxa" w:w="3270"/>
            <w:vMerge/>
            <w:tcBorders>
              <w:top w:val="single" w:color="000000" w:sz="4"/>
              <w:left w:val="none" w:color="000000" w:sz="4"/>
              <w:bottom w:val="single" w:color="000000" w:sz="4"/>
              <w:right w:val="single" w:color="000000" w:sz="4"/>
            </w:tcBorders>
          </w:tcPr>
          <w:p/>
        </w:tc>
        <w:tc>
          <w:tcPr>
            <w:tcW w:type="dxa" w:w="683"/>
            <w:tcBorders>
              <w:top w:val="none" w:color="000000" w:sz="4"/>
              <w:left w:val="none" w:color="000000" w:sz="4"/>
              <w:bottom w:val="single" w:color="000000" w:sz="4"/>
              <w:right w:val="single" w:color="000000" w:sz="4"/>
            </w:tcBorders>
            <w:vAlign w:val="top"/>
          </w:tcPr>
          <w:p>
            <w:pPr>
              <w:jc w:val="center"/>
            </w:pPr>
          </w:p>
        </w:tc>
        <w:tc>
          <w:tcPr>
            <w:tcW w:type="dxa" w:w="683"/>
            <w:tcBorders>
              <w:top w:val="none" w:color="000000" w:sz="4"/>
              <w:left w:val="none" w:color="000000" w:sz="4"/>
              <w:bottom w:val="single" w:color="000000" w:sz="4"/>
              <w:right w:val="single" w:color="000000" w:sz="4"/>
            </w:tcBorders>
            <w:vAlign w:val="top"/>
          </w:tcPr>
          <w:p>
            <w:pPr>
              <w:jc w:val="center"/>
            </w:pPr>
          </w:p>
        </w:tc>
      </w:tr>
      <w:tr>
        <w:tc>
          <w:tcPr>
            <w:tcW w:type="dxa" w:w="509"/>
            <w:vMerge w:val="restart"/>
            <w:tcBorders>
              <w:top w:val="none" w:color="000000" w:sz="4"/>
              <w:left w:val="single" w:color="000000" w:sz="4"/>
              <w:bottom w:val="single" w:color="000000" w:sz="4"/>
              <w:right w:val="single" w:color="000000" w:sz="4"/>
            </w:tcBorders>
            <w:vAlign w:val="top"/>
          </w:tcPr>
          <w:p>
            <w:pPr>
              <w:jc w:val="center"/>
            </w:pPr>
            <w:r>
              <w:rPr>
                <w:color w:val="000000"/>
                <w:sz w:val="20"/>
              </w:rPr>
              <w:t>道路</w:t>
            </w:r>
            <w:r>
              <w:rPr>
                <w:color w:val="000000"/>
                <w:sz w:val="20"/>
              </w:rPr>
              <w:t>（含公共停车场）</w:t>
            </w:r>
            <w:r>
              <w:rPr>
                <w:color w:val="000000"/>
                <w:sz w:val="20"/>
              </w:rPr>
              <w:t>清扫保洁</w:t>
            </w: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路面卫生情况</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25</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普扫在每日</w:t>
            </w:r>
            <w:r>
              <w:rPr>
                <w:color w:val="000000"/>
                <w:sz w:val="20"/>
              </w:rPr>
              <w:t>7时前完成。无残留污水、无沙土残积、无明显污迹、无堆积物、无破损和乱张贴，清扫保洁应达到路面整洁。出入口、城乡结合部应及时组织清理垃圾、废土杂物。垃圾不得扫入绿地、雨水口、河道、边沟。</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绿化带</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无垃圾杂物。及时清理绿化设施上零星垃圾杂物以及大件垃圾，及时清理杂草、牛皮癣和街招广告。</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六乱现象</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8</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果皮箱、灯杆、路牌广告等设施容貌整洁完好，无乱张贴、乱吊挂、乱涂画、乱堆放；路面垃圾无漏扫、漏收、漏运。</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环卫设施</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8</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道路设置的垃圾分类收集容器应确保无残缺破损、封闭性好，干净美观，与周围环境相协调。收集容器放置点及周围应整洁、无蝇、无臭、无存留垃圾和污水，收集容器每天洗刷至少一次；保洁车、收集容器内垃圾不外溢，及时清空。环卫作业车辆保持外观干净整洁，车身无破损锈迹。</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内街小巷</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无卫生死角、四害孳生地、垃圾、污水、渣土，无牛皮癣。</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“门前三包”</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3</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有与沿街门店签订门前三包责任书，有组织</w:t>
            </w:r>
            <w:r>
              <w:rPr>
                <w:color w:val="000000"/>
                <w:sz w:val="20"/>
              </w:rPr>
              <w:t>“门前三包”检查详细记录。门店前保持干净整洁，无外扫垃圾和乱倒垃圾现象。</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val="restart"/>
            <w:tcBorders>
              <w:top w:val="none" w:color="000000" w:sz="4"/>
              <w:left w:val="single" w:color="000000" w:sz="4"/>
              <w:bottom w:val="single" w:color="000000" w:sz="4"/>
              <w:right w:val="single" w:color="000000" w:sz="4"/>
            </w:tcBorders>
            <w:vAlign w:val="top"/>
          </w:tcPr>
          <w:p>
            <w:pPr>
              <w:jc w:val="center"/>
            </w:pPr>
            <w:r>
              <w:rPr>
                <w:color w:val="000000"/>
                <w:sz w:val="20"/>
              </w:rPr>
              <w:t>垃圾收集转运</w:t>
            </w: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收集</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8</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收集搬运过程应无遗漏、无洒漏、无渗滤液滴漏。清扫保洁垃圾应密闭收集并放置在指定地点统一收运，不得倒入绿化带、绿化平台、绿地、坑沟、河道等，不得焚烧垃圾。</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工具</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使用小型垃圾车向垃圾站转运的过程，严禁拆捡垃圾，不得妨碍道路交通；小型垃圾车应覆盖密闭，不对周边环境造成二次污染。</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vAlign w:val="top"/>
          </w:tcPr>
          <w:p>
            <w:pPr>
              <w:jc w:val="center"/>
            </w:pPr>
            <w:r>
              <w:rPr>
                <w:color w:val="000000"/>
                <w:sz w:val="20"/>
              </w:rPr>
              <w:t>转运</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垃圾车装满垃圾出站前应放净车厢内积存污水，并对垃圾车车身进行冲洗，确保车身干净，无外挂垃圾，确保沿途无垃圾漏散和污水滴漏。</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4</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垃圾露天转运点作业结束后应将路面清洗干净，无残留垃圾、无污迹、无明显臭味。</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转运站</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4</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站内作业规章、管理制度应上墙公布，陈设整齐；站内及周围不得堆放非必需物品；天花板、地面、墙壁无明显污迹、积水、蛛网。无蚊蝇、无恶臭。</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val="restart"/>
            <w:tcBorders>
              <w:top w:val="none" w:color="000000" w:sz="4"/>
              <w:left w:val="single" w:color="000000" w:sz="4"/>
              <w:bottom w:val="none" w:color="000000" w:sz="4"/>
              <w:right w:val="single" w:color="000000" w:sz="4"/>
            </w:tcBorders>
            <w:vAlign w:val="top"/>
          </w:tcPr>
          <w:p>
            <w:pPr>
              <w:jc w:val="left"/>
            </w:pPr>
            <w:r>
              <w:rPr>
                <w:color w:val="000000"/>
                <w:sz w:val="20"/>
              </w:rPr>
              <w:t>区域内海滩</w:t>
            </w: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卫生情况</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3</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保持区域内海滩上环境整洁美观。</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r>
              <w:rPr>
                <w:color w:val="000000"/>
                <w:sz w:val="20"/>
              </w:rPr>
              <w:t>六乱现象</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果皮箱、灯杆、路牌广告等设施容貌整洁完好，无乱张贴、乱吊挂、乱涂画、乱堆放；路面垃圾无漏扫、漏收、漏运。</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val="restart"/>
            <w:tcBorders>
              <w:top w:val="none" w:color="000000" w:sz="4"/>
              <w:left w:val="single" w:color="000000" w:sz="4"/>
              <w:bottom w:val="none" w:color="000000" w:sz="4"/>
              <w:right w:val="single" w:color="000000" w:sz="4"/>
            </w:tcBorders>
            <w:vAlign w:val="top"/>
          </w:tcPr>
          <w:p>
            <w:pPr>
              <w:jc w:val="left"/>
            </w:pPr>
            <w:r>
              <w:rPr>
                <w:color w:val="000000"/>
                <w:sz w:val="20"/>
              </w:rPr>
              <w:t>公共厕所清扫保洁</w:t>
            </w:r>
          </w:p>
        </w:tc>
        <w:tc>
          <w:tcPr>
            <w:tcW w:type="dxa" w:w="584"/>
            <w:vMerge w:val="restart"/>
            <w:tcBorders>
              <w:top w:val="none" w:color="000000" w:sz="4"/>
              <w:left w:val="none" w:color="000000" w:sz="4"/>
              <w:bottom w:val="none" w:color="000000" w:sz="4"/>
              <w:right w:val="single" w:color="000000" w:sz="4"/>
            </w:tcBorders>
            <w:vAlign w:val="top"/>
          </w:tcPr>
          <w:p>
            <w:pPr>
              <w:jc w:val="left"/>
            </w:pPr>
            <w:r>
              <w:rPr>
                <w:color w:val="000000"/>
                <w:sz w:val="20"/>
              </w:rPr>
              <w:t>卫生情况</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公厕内墙面、天花板、门窗、隔板及设施无积灰、污迹、蛛网、无乱涂画，公厕外墙保持整洁。</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none" w:color="000000" w:sz="4"/>
              <w:right w:val="single" w:color="000000" w:sz="4"/>
            </w:tcBorders>
          </w:tcP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公厕周围</w:t>
            </w:r>
            <w:r>
              <w:rPr>
                <w:color w:val="000000"/>
                <w:sz w:val="20"/>
              </w:rPr>
              <w:t>1米内地面、楼梯、公厕内地面整洁、无积水，公厕痰迹、果皮、纸片、烟蒂或其他垃圾总数不超过3件（处）。公厕内基本无蚊蝇等昆虫（不超过1只）</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left"/>
            </w:pPr>
            <w:r>
              <w:rPr>
                <w:color w:val="000000"/>
                <w:sz w:val="20"/>
              </w:rPr>
              <w:t>设施情况</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大便槽（盆）无积粪；小便槽无水锈，尿垢、垃圾；沟眼、管道畅通。地面应保持清洁，无积水及污迹，雨天应设置防滑垫或设置防滑标志。</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left"/>
            </w:pPr>
            <w:r>
              <w:rPr>
                <w:color w:val="000000"/>
                <w:sz w:val="20"/>
              </w:rPr>
              <w:t>四乱现象</w:t>
            </w: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公厕内及周围杜绝乱张贴、乱搭建、乱悬挂、乱堆放现象。</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val="restart"/>
            <w:tcBorders>
              <w:top w:val="none" w:color="000000" w:sz="4"/>
              <w:left w:val="single" w:color="000000" w:sz="4"/>
              <w:bottom w:val="single" w:color="000000" w:sz="4"/>
              <w:right w:val="single" w:color="000000" w:sz="4"/>
            </w:tcBorders>
            <w:vAlign w:val="top"/>
          </w:tcPr>
          <w:p>
            <w:pPr>
              <w:jc w:val="center"/>
            </w:pPr>
            <w:r>
              <w:rPr>
                <w:color w:val="000000"/>
                <w:sz w:val="20"/>
              </w:rPr>
              <w:t>管理责任</w:t>
            </w:r>
          </w:p>
        </w:tc>
        <w:tc>
          <w:tcPr>
            <w:tcW w:type="dxa" w:w="584"/>
            <w:tcBorders>
              <w:top w:val="none" w:color="000000" w:sz="4"/>
              <w:left w:val="none" w:color="000000" w:sz="4"/>
              <w:bottom w:val="single" w:color="000000" w:sz="4"/>
              <w:right w:val="single" w:color="000000" w:sz="4"/>
            </w:tcBorders>
            <w:vAlign w:val="top"/>
          </w:tcPr>
          <w:p>
            <w:pPr>
              <w:jc w:val="center"/>
            </w:pP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未按督查要求落实整改的或市民投诉案件。</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vAlign w:val="top"/>
          </w:tcPr>
          <w:p>
            <w:pPr>
              <w:jc w:val="center"/>
            </w:pPr>
          </w:p>
        </w:tc>
        <w:tc>
          <w:tcPr>
            <w:tcW w:type="dxa" w:w="696"/>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3270"/>
            <w:tcBorders>
              <w:top w:val="none" w:color="000000" w:sz="4"/>
              <w:left w:val="none" w:color="000000" w:sz="4"/>
              <w:bottom w:val="single" w:color="000000" w:sz="4"/>
              <w:right w:val="single" w:color="000000" w:sz="4"/>
            </w:tcBorders>
            <w:vAlign w:val="top"/>
          </w:tcPr>
          <w:p>
            <w:pPr>
              <w:jc w:val="left"/>
            </w:pPr>
            <w:r>
              <w:rPr>
                <w:color w:val="000000"/>
                <w:sz w:val="20"/>
              </w:rPr>
              <w:t>被新闻媒体曝光的或上级督查通报的。</w:t>
            </w: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683"/>
            <w:tcBorders>
              <w:top w:val="none" w:color="000000" w:sz="4"/>
              <w:left w:val="none" w:color="000000" w:sz="4"/>
              <w:bottom w:val="single" w:color="000000" w:sz="4"/>
              <w:right w:val="single" w:color="000000" w:sz="4"/>
            </w:tcBorders>
            <w:vAlign w:val="top"/>
          </w:tcPr>
          <w:p>
            <w:pPr>
              <w:jc w:val="left"/>
            </w:pPr>
          </w:p>
        </w:tc>
        <w:tc>
          <w:tcPr>
            <w:tcW w:type="dxa" w:w="783"/>
            <w:tcBorders>
              <w:top w:val="none" w:color="000000" w:sz="4"/>
              <w:left w:val="none" w:color="000000" w:sz="4"/>
              <w:bottom w:val="single" w:color="000000" w:sz="4"/>
              <w:right w:val="single" w:color="000000" w:sz="4"/>
            </w:tcBorders>
            <w:vAlign w:val="top"/>
          </w:tcPr>
          <w:p>
            <w:pPr>
              <w:jc w:val="left"/>
            </w:pPr>
          </w:p>
        </w:tc>
        <w:tc>
          <w:tcPr>
            <w:tcW w:type="dxa" w:w="1044"/>
            <w:tcBorders>
              <w:top w:val="none" w:color="000000" w:sz="4"/>
              <w:left w:val="none" w:color="000000" w:sz="4"/>
              <w:bottom w:val="single" w:color="000000" w:sz="4"/>
              <w:right w:val="single" w:color="000000" w:sz="4"/>
            </w:tcBorders>
            <w:vAlign w:val="top"/>
          </w:tcPr>
          <w:p>
            <w:pPr>
              <w:jc w:val="left"/>
            </w:pPr>
          </w:p>
        </w:tc>
      </w:tr>
      <w:tr>
        <w:tc>
          <w:tcPr>
            <w:tcW w:type="dxa" w:w="8252"/>
            <w:gridSpan w:val="8"/>
            <w:tcBorders>
              <w:top w:val="none" w:color="000000" w:sz="4"/>
              <w:left w:val="none" w:color="000000" w:sz="4"/>
              <w:bottom w:val="none" w:color="000000" w:sz="4"/>
              <w:right w:val="none" w:color="000000" w:sz="4"/>
            </w:tcBorders>
            <w:vAlign w:val="top"/>
          </w:tcPr>
          <w:p>
            <w:pPr>
              <w:jc w:val="left"/>
            </w:pPr>
            <w:r>
              <w:rPr>
                <w:color w:val="000000"/>
                <w:sz w:val="20"/>
              </w:rPr>
              <w:t>备注：</w:t>
            </w:r>
            <w:r>
              <w:rPr>
                <w:color w:val="000000"/>
                <w:sz w:val="20"/>
              </w:rPr>
              <w:t>1、考核组在检查考核过程中对各分项的扣分情况进行评价打分；</w:t>
            </w:r>
          </w:p>
          <w:p>
            <w:pPr>
              <w:jc w:val="left"/>
            </w:pPr>
            <w:r>
              <w:rPr>
                <w:color w:val="000000"/>
                <w:sz w:val="20"/>
              </w:rPr>
              <w:t xml:space="preserve">      </w:t>
            </w:r>
            <w:r>
              <w:rPr>
                <w:color w:val="000000"/>
                <w:sz w:val="20"/>
              </w:rPr>
              <w:t>2、由</w:t>
            </w:r>
            <w:r>
              <w:rPr>
                <w:color w:val="000000"/>
                <w:sz w:val="20"/>
              </w:rPr>
              <w:t>莱管委管理服务科</w:t>
            </w:r>
            <w:r>
              <w:rPr>
                <w:color w:val="000000"/>
                <w:sz w:val="20"/>
              </w:rPr>
              <w:t>按各分项得分情况进行汇总计分。</w:t>
            </w:r>
          </w:p>
        </w:tc>
      </w:tr>
    </w:tbl>
    <w:p>
      <w:pPr>
        <w:ind w:firstLine="480"/>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440515-2023-02581</w:t>
      </w:r>
    </w:p>
    <w:p>
      <w:pPr>
        <w:jc w:val="center"/>
      </w:pPr>
      <w:r>
        <w:rPr>
          <w:b/>
          <w:sz w:val="24"/>
        </w:rPr>
        <w:t>采购项目编号：</w:t>
      </w:r>
      <w:r>
        <w:rPr>
          <w:b/>
          <w:sz w:val="24"/>
        </w:rPr>
        <w:t>HSCGZB202322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汕头市澄海区莱芜岛片区道路及绿化带环卫保洁市场化服务项目</w:t>
      </w:r>
      <w:r>
        <w:rPr>
          <w:u w:val="single"/>
        </w:rPr>
        <w:t>”</w:t>
      </w:r>
      <w:r>
        <w:rPr/>
        <w:t>项目的竞争性磋商[采购项目编号为：</w:t>
      </w:r>
      <w:r>
        <w:rPr>
          <w:u w:val="single"/>
        </w:rPr>
        <w:t>HSCGZB202322</w:t>
      </w:r>
      <w:r>
        <w:rPr/>
        <w:t>]，我方愿参与响应。</w:t>
      </w:r>
    </w:p>
    <w:p>
      <w:pPr>
        <w:ind w:firstLine="480"/>
      </w:pPr>
      <w:r>
        <w:rPr/>
        <w:t>我方确认收到贵方提供的</w:t>
      </w:r>
      <w:r>
        <w:rPr>
          <w:u w:val="single"/>
        </w:rPr>
        <w:t>“</w:t>
      </w:r>
      <w:r>
        <w:rPr>
          <w:u w:val="single"/>
        </w:rPr>
        <w:t>汕头市澄海区莱芜岛片区道路及绿化带环卫保洁市场化服务项目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汕头市澄海区莱芜岛片区道路及绿化带环卫保洁市场化服务项目</w:t>
      </w:r>
      <w:r>
        <w:rPr/>
        <w:t>”项目采购[采购项目编号为</w:t>
      </w:r>
      <w:r>
        <w:rPr/>
        <w:t>HSCGZB202322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汕头市澄海区莱芜经济开发试验区管理委员会</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汕头市澄海区莱芜岛片区道路及绿化带环卫保洁市场化服务项目</w:t>
      </w:r>
      <w:r>
        <w:rPr/>
        <w:t>（采购项目编号：</w:t>
      </w:r>
      <w:r>
        <w:rPr/>
        <w:t>HSCGZB202322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汕头市澄海区莱芜岛片区道路及绿化带环卫保洁市场化服务项目</w:t>
      </w:r>
      <w:r>
        <w:rPr/>
        <w:t>”项目（采购项目编号：</w:t>
      </w:r>
      <w:r>
        <w:rPr/>
        <w:t>HSCGZB202322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