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440515-2026-01232</w:t>
      </w:r>
    </w:p>
    <w:p>
      <w:pPr>
        <w:pStyle w:val="null3"/>
        <w:jc w:val="center"/>
        <w:outlineLvl w:val="3"/>
      </w:pPr>
      <w:r>
        <w:rPr>
          <w:sz w:val="24"/>
          <w:b/>
        </w:rPr>
        <w:t>采购项目编号：</w:t>
      </w:r>
      <w:r>
        <w:rPr>
          <w:sz w:val="24"/>
          <w:b/>
        </w:rPr>
        <w:t>HSCGZB202510</w:t>
      </w:r>
    </w:p>
    <w:p>
      <w:pPr>
        <w:pStyle w:val="null3"/>
        <w:jc w:val="center"/>
        <w:outlineLvl w:val="3"/>
      </w:pPr>
      <w:r>
        <w:rPr>
          <w:sz w:val="24"/>
          <w:b/>
        </w:rPr>
        <w:t>项目名称：</w:t>
      </w:r>
      <w:r>
        <w:rPr>
          <w:sz w:val="24"/>
          <w:b/>
        </w:rPr>
        <w:t>汕头市澄海区老年人意外伤害保险项目</w:t>
      </w:r>
    </w:p>
    <w:p>
      <w:pPr>
        <w:pStyle w:val="null3"/>
        <w:jc w:val="center"/>
        <w:outlineLvl w:val="3"/>
      </w:pPr>
      <w:r>
        <w:rPr>
          <w:sz w:val="24"/>
          <w:b/>
        </w:rPr>
        <w:t>采购人：</w:t>
      </w:r>
      <w:r>
        <w:rPr>
          <w:sz w:val="24"/>
          <w:b/>
        </w:rPr>
        <w:t>汕头市澄海区民政局</w:t>
      </w:r>
    </w:p>
    <w:p>
      <w:pPr>
        <w:pStyle w:val="null3"/>
        <w:jc w:val="center"/>
        <w:outlineLvl w:val="3"/>
      </w:pPr>
      <w:r>
        <w:rPr>
          <w:sz w:val="24"/>
          <w:b/>
        </w:rPr>
        <w:t>采购代理机构：</w:t>
      </w:r>
      <w:r>
        <w:rPr>
          <w:sz w:val="24"/>
          <w:b/>
        </w:rPr>
        <w:t>广东恒胜建设监理有限公司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广东恒胜建设监理有限公司</w:t>
      </w:r>
      <w:r>
        <w:rPr/>
        <w:t>受</w:t>
      </w:r>
      <w:r>
        <w:rPr/>
        <w:t>汕头市澄海区民政局</w:t>
      </w:r>
      <w:r>
        <w:rPr/>
        <w:t>的委托，采用</w:t>
      </w:r>
      <w:r>
        <w:rPr/>
        <w:t>竞争性磋商</w:t>
      </w:r>
      <w:r>
        <w:rPr/>
        <w:t>方式组织采购</w:t>
      </w:r>
      <w:r>
        <w:rPr/>
        <w:t>汕头市澄海区老年人意外伤害保险项目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汕头市澄海区老年人意外伤害保险项目</w:t>
      </w:r>
    </w:p>
    <w:p>
      <w:pPr>
        <w:pStyle w:val="null3"/>
        <w:ind w:firstLine="480"/>
      </w:pPr>
      <w:r>
        <w:rPr/>
        <w:t>采购计划编号：</w:t>
      </w:r>
      <w:r>
        <w:rPr/>
        <w:t>440515-2026-01232</w:t>
      </w:r>
    </w:p>
    <w:p>
      <w:pPr>
        <w:pStyle w:val="null3"/>
        <w:ind w:firstLine="480"/>
      </w:pPr>
      <w:r>
        <w:rPr/>
        <w:t>采购项目编号：</w:t>
      </w:r>
      <w:r>
        <w:rPr/>
        <w:t>HSCGZB202510</w:t>
      </w:r>
    </w:p>
    <w:p>
      <w:pPr>
        <w:pStyle w:val="null3"/>
        <w:ind w:firstLine="480"/>
      </w:pPr>
      <w:r>
        <w:rPr/>
        <w:t>采购方式：</w:t>
      </w:r>
      <w:r>
        <w:rPr/>
        <w:t>竞争性磋商</w:t>
      </w:r>
    </w:p>
    <w:p>
      <w:pPr>
        <w:pStyle w:val="null3"/>
        <w:ind w:firstLine="480"/>
      </w:pPr>
      <w:r>
        <w:rPr/>
        <w:t>预算金额：</w:t>
      </w:r>
      <w:r>
        <w:rPr/>
        <w:t>1,872,560.00</w:t>
      </w:r>
      <w:r>
        <w:rPr/>
        <w:t>元</w:t>
      </w:r>
    </w:p>
    <w:p>
      <w:pPr>
        <w:pStyle w:val="null3"/>
        <w:outlineLvl w:val="3"/>
      </w:pPr>
      <w:r>
        <w:rPr>
          <w:sz w:val="24"/>
          <w:b/>
        </w:rPr>
        <w:t>2.项目内容及需求情况（采购项目技术规格、参数及要求）</w:t>
      </w:r>
    </w:p>
    <w:p>
      <w:pPr>
        <w:pStyle w:val="null3"/>
      </w:pPr>
      <w:r>
        <w:rPr/>
        <w:t>采购包1(汕头市澄海区老年人意外伤害保险项目):</w:t>
      </w:r>
    </w:p>
    <w:p>
      <w:pPr>
        <w:pStyle w:val="null3"/>
      </w:pPr>
      <w:r>
        <w:rPr/>
        <w:t>采购包预算金额：1,872,560.00元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人寿保险服务</w:t>
            </w:r>
          </w:p>
        </w:tc>
        <w:tc>
          <w:tcPr>
            <w:tcW w:type="dxa" w:w="2136"/>
          </w:tcPr>
          <w:p>
            <w:pPr>
              <w:pStyle w:val="null3"/>
            </w:pPr>
            <w:r>
              <w:rPr/>
              <w:t>汕头市澄海区老年人意外伤害保险项目</w:t>
            </w:r>
          </w:p>
        </w:tc>
        <w:tc>
          <w:tcPr>
            <w:tcW w:type="dxa" w:w="1187"/>
          </w:tcPr>
          <w:p>
            <w:pPr>
              <w:pStyle w:val="null3"/>
            </w:pPr>
            <w:r>
              <w:rPr/>
              <w:t>1(年)</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合同履行期限：自保险单载明的保险责任起始之日起一年（保险期自2026年10月1日零时起至2027年9月30日二十四时止）。</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2）有依法缴纳税收和社会保障资金的良好记录：供应商承诺依法缴纳税收和社会保障资金（格式详见附件：汕头市政府采购供应商信用承诺函）。</w:t>
      </w:r>
    </w:p>
    <w:p>
      <w:pPr>
        <w:pStyle w:val="null3"/>
      </w:pPr>
      <w:r>
        <w:rPr/>
        <w:t>3）具有良好的商业信誉和健全的财务会计制度：供应商承诺具有良好的商业信誉和健全的财务会计制度（格式详见附件：汕头市政府采购供应商信用承诺函）。</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响应承诺函相关承诺格式内容（格式详见附件：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采购包1（汕头市澄海区老年人意外伤害保险项目）：</w:t>
      </w:r>
      <w:r>
        <w:rPr/>
        <w:t>无。</w:t>
      </w:r>
    </w:p>
    <w:p>
      <w:pPr>
        <w:pStyle w:val="null3"/>
        <w:outlineLvl w:val="3"/>
      </w:pPr>
      <w:r>
        <w:rPr>
          <w:sz w:val="24"/>
          <w:b/>
        </w:rPr>
        <w:t>3.本项目特定的资格要求：</w:t>
      </w:r>
    </w:p>
    <w:p>
      <w:pPr>
        <w:pStyle w:val="null3"/>
      </w:pPr>
      <w:r>
        <w:rPr/>
        <w:t>采购包1（汕头市澄海区老年人意外伤害保险项目）：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3)供应商须具有中国银行保险监督管理委员会（中国保险监督管理委员会）颁发的经营保险业务许可证或保险许可证。</w:t>
      </w:r>
    </w:p>
    <w:p>
      <w:pPr>
        <w:pStyle w:val="null3"/>
      </w:pPr>
      <w:r>
        <w:rPr/>
        <w:t>4)本采购包不接受联合体响应。</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中国采购与招标(www.chinabidding.com.cn)，中国财经报（www.cfen.com.cn），广东恒胜建设监理有限公司网(www.gdhsjl.com)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汕头市澄海区民政局</w:t>
      </w:r>
    </w:p>
    <w:p>
      <w:pPr>
        <w:pStyle w:val="null3"/>
        <w:ind w:firstLine="480"/>
      </w:pPr>
      <w:r>
        <w:rPr/>
        <w:t>地址：</w:t>
      </w:r>
      <w:r>
        <w:rPr/>
        <w:t>汕头市澄海区澄华街道宁川东路社区服务中心大楼</w:t>
      </w:r>
    </w:p>
    <w:p>
      <w:pPr>
        <w:pStyle w:val="null3"/>
        <w:ind w:firstLine="480"/>
      </w:pPr>
      <w:r>
        <w:rPr/>
        <w:t>联系方式：</w:t>
      </w:r>
      <w:r>
        <w:rPr/>
        <w:t>0754-85887280</w:t>
      </w:r>
    </w:p>
    <w:p>
      <w:pPr>
        <w:pStyle w:val="null3"/>
        <w:outlineLvl w:val="3"/>
      </w:pPr>
      <w:r>
        <w:rPr>
          <w:sz w:val="24"/>
          <w:b/>
        </w:rPr>
        <w:t>2.采购代理机构信息</w:t>
      </w:r>
    </w:p>
    <w:p>
      <w:pPr>
        <w:pStyle w:val="null3"/>
        <w:ind w:firstLine="480"/>
      </w:pPr>
      <w:r>
        <w:rPr/>
        <w:t>名称：</w:t>
      </w:r>
      <w:r>
        <w:rPr/>
        <w:t>广东恒胜建设监理有限公司</w:t>
      </w:r>
    </w:p>
    <w:p>
      <w:pPr>
        <w:pStyle w:val="null3"/>
        <w:ind w:firstLine="480"/>
      </w:pPr>
      <w:r>
        <w:rPr/>
        <w:t xml:space="preserve"> 地址：</w:t>
      </w:r>
      <w:r>
        <w:rPr/>
        <w:t>汕头市澄海区国道324线西侧协和大厦北梯二楼201号</w:t>
      </w:r>
    </w:p>
    <w:p>
      <w:pPr>
        <w:pStyle w:val="null3"/>
        <w:ind w:firstLine="480"/>
      </w:pPr>
      <w:r>
        <w:rPr/>
        <w:t xml:space="preserve"> 联系方式：</w:t>
      </w:r>
      <w:r>
        <w:rPr/>
        <w:t>0754-85861273</w:t>
      </w:r>
    </w:p>
    <w:p>
      <w:pPr>
        <w:pStyle w:val="null3"/>
        <w:outlineLvl w:val="3"/>
      </w:pPr>
      <w:r>
        <w:rPr>
          <w:sz w:val="24"/>
          <w:b/>
        </w:rPr>
        <w:t xml:space="preserve"> 3.项目联系方式</w:t>
      </w:r>
    </w:p>
    <w:p>
      <w:pPr>
        <w:pStyle w:val="null3"/>
        <w:ind w:firstLine="480"/>
      </w:pPr>
      <w:r>
        <w:rPr/>
        <w:t xml:space="preserve"> 项目联系人：</w:t>
      </w:r>
      <w:r>
        <w:rPr/>
        <w:t>吴女士</w:t>
      </w:r>
    </w:p>
    <w:p>
      <w:pPr>
        <w:pStyle w:val="null3"/>
        <w:ind w:firstLine="480"/>
      </w:pPr>
      <w:r>
        <w:rPr/>
        <w:t xml:space="preserve"> 电话：</w:t>
      </w:r>
      <w:r>
        <w:rPr/>
        <w:t>0754-85861273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广东恒胜建设监理有限公司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为全面贯彻党的二十大和二十届二中、三中全会决策部署，确保机构改革后持续深入开展老年人意外伤害保险工作，增加老年人及其家庭抗风险能力，提升老年人获得感、幸福感和安全感，采购人拟通过竞争性磋商采购方式选取一家保险承保机构，为汕头市澄海区</w:t>
      </w:r>
      <w:r>
        <w:rPr>
          <w:sz w:val="21"/>
        </w:rPr>
        <w:t>60</w:t>
      </w:r>
      <w:r>
        <w:rPr>
          <w:sz w:val="21"/>
        </w:rPr>
        <w:t>周岁及以上户籍老年人提供意外伤害保险保障，减轻老年人及其家庭的经济负担。</w:t>
      </w:r>
    </w:p>
    <w:p>
      <w:pPr>
        <w:pStyle w:val="null3"/>
      </w:pPr>
      <w:r>
        <w:rPr/>
        <w:t>采购包1（汕头市澄海区老年人意外伤害保险项目）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自保险单载明的保险责任起始之日起一年（保险期自2026年10月1日零时起至2027年9月30日二十四时止）。</w:t>
            </w:r>
          </w:p>
        </w:tc>
      </w:tr>
      <w:tr>
        <w:tc>
          <w:tcPr>
            <w:tcW w:type="dxa" w:w="4153"/>
          </w:tcPr>
          <w:p>
            <w:pPr>
              <w:pStyle w:val="null3"/>
            </w:pPr>
            <w:r>
              <w:rPr/>
              <w:t>标的提供的地点</w:t>
            </w:r>
          </w:p>
        </w:tc>
        <w:tc>
          <w:tcPr>
            <w:tcW w:type="dxa" w:w="4153"/>
          </w:tcPr>
          <w:p>
            <w:pPr>
              <w:pStyle w:val="null3"/>
            </w:pPr>
            <w:r>
              <w:rPr/>
              <w:t>汕头市澄海区</w:t>
            </w:r>
          </w:p>
        </w:tc>
      </w:tr>
      <w:tr>
        <w:tc>
          <w:tcPr>
            <w:tcW w:type="dxa" w:w="4153"/>
          </w:tcPr>
          <w:p>
            <w:pPr>
              <w:pStyle w:val="null3"/>
            </w:pPr>
            <w:r>
              <w:rPr/>
              <w:t>付款方式</w:t>
            </w:r>
          </w:p>
        </w:tc>
        <w:tc>
          <w:tcPr>
            <w:tcW w:type="dxa" w:w="4153"/>
          </w:tcPr>
          <w:p>
            <w:pPr>
              <w:pStyle w:val="null3"/>
            </w:pPr>
            <w:r>
              <w:rPr/>
              <w:t>1期：支付比例100%,合同签订后，成交供应商向采购人出具投保单以及与保单等额的正规发票，采购人核准无误后，向成交供应商全额支付保费。上述款项支付时间以财政资金到位情况为准，成交供应商不得以此为由停止服务或视为采购人逾期付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1期：竞争性磋商文件、响应文件及合同和国家相关质量标准。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1.响应报价不得超过采购预算金额人民币1872560.00元，否则为无效响应。 2.本项目报价中必须包括但不限于所有保险费、人工费、利润、税费、全额含税发票、以及不可预见费等完成本项目内容所需的一切费用。供应商漏报或不报，采购人将视为该漏报或不报部分的费用已包括在已报的分项报价中而不予支付。 合同总金额不因老年人数量的增减而发生改变，即合同总金额为全区60周岁及以上老年人意外伤害保险保费。</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供应商响应报价不得高于项目采购预算金额，否则按无效响应处理。取成交供应商的最后磋商报价作为合同价。</w:t>
            </w:r>
          </w:p>
        </w:tc>
      </w:tr>
      <w:tr>
        <w:tc>
          <w:tcPr>
            <w:tcW w:type="dxa" w:w="2076"/>
          </w:tcPr>
          <w:p/>
        </w:tc>
        <w:tc>
          <w:tcPr>
            <w:tcW w:type="dxa" w:w="2076"/>
          </w:tcPr>
          <w:p>
            <w:pPr>
              <w:pStyle w:val="null3"/>
              <w:jc w:val="center"/>
            </w:pPr>
            <w:r>
              <w:rPr/>
              <w:t>3</w:t>
            </w:r>
          </w:p>
        </w:tc>
        <w:tc>
          <w:tcPr>
            <w:tcW w:type="dxa" w:w="2076"/>
          </w:tcPr>
          <w:p>
            <w:pPr>
              <w:pStyle w:val="null3"/>
              <w:jc w:val="left"/>
            </w:pPr>
            <w:r>
              <w:rPr/>
              <w:t>履约保证金</w:t>
            </w:r>
          </w:p>
        </w:tc>
        <w:tc>
          <w:tcPr>
            <w:tcW w:type="dxa" w:w="2076"/>
          </w:tcPr>
          <w:p>
            <w:pPr>
              <w:pStyle w:val="null3"/>
              <w:jc w:val="left"/>
            </w:pPr>
            <w:r>
              <w:rPr/>
              <w:t>关于不收取履约保证金的说明：根据《广东省财政厅关于进一步优化政府采购领域营商环境的实施意见》（粤财采购〔2021〕7号）文件精神，经采购人确认成交供应商为诚信供应商的，免收履约保证金。否则成交供应商在签订合同后五个工作日内以第三方担保的形式向采购人提供合同金额的5％作为履约保证金。</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风险评级</w:t>
            </w:r>
          </w:p>
        </w:tc>
        <w:tc>
          <w:tcPr>
            <w:tcW w:type="dxa" w:w="2076"/>
          </w:tcPr>
          <w:p>
            <w:pPr>
              <w:pStyle w:val="null3"/>
              <w:jc w:val="left"/>
            </w:pPr>
            <w:r>
              <w:rPr/>
              <w:t>供应商具有一定的抗风险能力。</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同类业绩</w:t>
            </w:r>
          </w:p>
        </w:tc>
        <w:tc>
          <w:tcPr>
            <w:tcW w:type="dxa" w:w="2076"/>
          </w:tcPr>
          <w:p>
            <w:pPr>
              <w:pStyle w:val="null3"/>
              <w:jc w:val="left"/>
            </w:pPr>
            <w:r>
              <w:rPr/>
              <w:t>供应商具有同类项目业绩经营。</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综合偿付能力</w:t>
            </w:r>
          </w:p>
        </w:tc>
        <w:tc>
          <w:tcPr>
            <w:tcW w:type="dxa" w:w="2076"/>
          </w:tcPr>
          <w:p>
            <w:pPr>
              <w:pStyle w:val="null3"/>
              <w:jc w:val="left"/>
            </w:pPr>
            <w:r>
              <w:rPr/>
              <w:t>供应商具有一定的偿付能力。</w:t>
            </w:r>
          </w:p>
        </w:tc>
      </w:tr>
      <w:tr>
        <w:tc>
          <w:tcPr>
            <w:tcW w:type="dxa" w:w="2076"/>
          </w:tcPr>
          <w:p/>
        </w:tc>
        <w:tc>
          <w:tcPr>
            <w:tcW w:type="dxa" w:w="2076"/>
          </w:tcPr>
          <w:p>
            <w:pPr>
              <w:pStyle w:val="null3"/>
              <w:jc w:val="center"/>
            </w:pPr>
            <w:r>
              <w:rPr/>
              <w:t>7</w:t>
            </w:r>
          </w:p>
        </w:tc>
        <w:tc>
          <w:tcPr>
            <w:tcW w:type="dxa" w:w="2076"/>
          </w:tcPr>
          <w:p>
            <w:pPr>
              <w:pStyle w:val="null3"/>
              <w:jc w:val="left"/>
            </w:pPr>
            <w:r>
              <w:rPr/>
              <w:t>合同条款响应</w:t>
            </w:r>
          </w:p>
        </w:tc>
        <w:tc>
          <w:tcPr>
            <w:tcW w:type="dxa" w:w="2076"/>
          </w:tcPr>
          <w:p>
            <w:pPr>
              <w:pStyle w:val="null3"/>
              <w:jc w:val="left"/>
            </w:pPr>
            <w:r>
              <w:rPr/>
              <w:t>同意接受合同范本所列述的各项条款。</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人寿保险服务</w:t>
            </w:r>
          </w:p>
        </w:tc>
        <w:tc>
          <w:tcPr>
            <w:tcW w:type="dxa" w:w="933"/>
          </w:tcPr>
          <w:p>
            <w:pPr>
              <w:pStyle w:val="null3"/>
              <w:jc w:val="left"/>
            </w:pPr>
            <w:r>
              <w:rPr/>
              <w:t>汕头市澄海区老年人意外伤害保险项目</w:t>
            </w:r>
          </w:p>
        </w:tc>
        <w:tc>
          <w:tcPr>
            <w:tcW w:type="dxa" w:w="933"/>
          </w:tcPr>
          <w:p>
            <w:pPr>
              <w:pStyle w:val="null3"/>
              <w:jc w:val="left"/>
            </w:pPr>
            <w:r>
              <w:rPr/>
              <w:t>年</w:t>
            </w:r>
          </w:p>
        </w:tc>
        <w:tc>
          <w:tcPr>
            <w:tcW w:type="dxa" w:w="933"/>
          </w:tcPr>
          <w:p>
            <w:pPr>
              <w:pStyle w:val="null3"/>
              <w:jc w:val="right"/>
            </w:pPr>
            <w:r>
              <w:rPr/>
              <w:t>1.00</w:t>
            </w:r>
          </w:p>
        </w:tc>
        <w:tc>
          <w:tcPr>
            <w:tcW w:type="dxa" w:w="933"/>
          </w:tcPr>
          <w:p>
            <w:pPr>
              <w:pStyle w:val="null3"/>
              <w:jc w:val="right"/>
            </w:pPr>
            <w:r>
              <w:rPr/>
              <w:t>1,872,560.00</w:t>
            </w:r>
          </w:p>
        </w:tc>
        <w:tc>
          <w:tcPr>
            <w:tcW w:type="dxa" w:w="933"/>
          </w:tcPr>
          <w:p>
            <w:pPr>
              <w:pStyle w:val="null3"/>
              <w:jc w:val="right"/>
            </w:pPr>
            <w:r>
              <w:rPr/>
              <w:t>1,872,560.00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汕头市澄海区老年人意外伤害保险项目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02"/>
              <w:jc w:val="both"/>
            </w:pPr>
            <w:r>
              <w:rPr>
                <w:sz w:val="20"/>
                <w:b/>
              </w:rPr>
              <w:t>一、参保人数及金额</w:t>
            </w:r>
          </w:p>
          <w:p>
            <w:pPr>
              <w:pStyle w:val="null3"/>
              <w:ind w:firstLine="400"/>
              <w:jc w:val="both"/>
            </w:pPr>
            <w:r>
              <w:rPr>
                <w:sz w:val="20"/>
              </w:rPr>
              <w:t>1.</w:t>
            </w:r>
            <w:r>
              <w:rPr>
                <w:sz w:val="20"/>
              </w:rPr>
              <w:t>本项目保障对象为汕头市澄海区全区户籍</w:t>
            </w:r>
            <w:r>
              <w:rPr>
                <w:sz w:val="20"/>
              </w:rPr>
              <w:t>60</w:t>
            </w:r>
            <w:r>
              <w:rPr>
                <w:sz w:val="20"/>
              </w:rPr>
              <w:t>周岁及以上老年人，包括保险期间内新增符合条件的老年人，均纳入政府统保范围，无需个人办理投保手续。</w:t>
            </w:r>
          </w:p>
          <w:p>
            <w:pPr>
              <w:pStyle w:val="null3"/>
              <w:ind w:firstLine="400"/>
              <w:jc w:val="both"/>
            </w:pPr>
            <w:r>
              <w:rPr>
                <w:sz w:val="20"/>
              </w:rPr>
              <w:t>2.</w:t>
            </w:r>
            <w:r>
              <w:rPr>
                <w:sz w:val="20"/>
              </w:rPr>
              <w:t>根据公安户籍部门数据，目前汕头市澄海区共有符合参保条件的</w:t>
            </w:r>
            <w:r>
              <w:rPr>
                <w:sz w:val="20"/>
              </w:rPr>
              <w:t>60</w:t>
            </w:r>
            <w:r>
              <w:rPr>
                <w:sz w:val="20"/>
              </w:rPr>
              <w:t>周岁及以</w:t>
            </w:r>
            <w:r>
              <w:rPr>
                <w:sz w:val="20"/>
              </w:rPr>
              <w:t>上老年人为</w:t>
            </w:r>
            <w:r>
              <w:rPr>
                <w:sz w:val="20"/>
              </w:rPr>
              <w:t>187256</w:t>
            </w:r>
            <w:r>
              <w:rPr>
                <w:sz w:val="20"/>
              </w:rPr>
              <w:t>名，按每人每年</w:t>
            </w:r>
            <w:r>
              <w:rPr>
                <w:sz w:val="20"/>
              </w:rPr>
              <w:t>10</w:t>
            </w:r>
            <w:r>
              <w:rPr>
                <w:sz w:val="20"/>
              </w:rPr>
              <w:t>元保费计算，老年人意外伤害保险保费总金额为</w:t>
            </w:r>
            <w:r>
              <w:rPr>
                <w:sz w:val="20"/>
              </w:rPr>
              <w:t>1872560.00</w:t>
            </w:r>
            <w:r>
              <w:rPr>
                <w:sz w:val="20"/>
              </w:rPr>
              <w:t>元。保费总金额不因老年人数量的增减而发生改变，即合同总金额为全区</w:t>
            </w:r>
            <w:r>
              <w:rPr>
                <w:sz w:val="20"/>
              </w:rPr>
              <w:t>60</w:t>
            </w:r>
            <w:r>
              <w:rPr>
                <w:sz w:val="20"/>
              </w:rPr>
              <w:t>周岁及以上老年人意外伤害保险保费。</w:t>
            </w:r>
          </w:p>
          <w:p>
            <w:pPr>
              <w:pStyle w:val="null3"/>
              <w:ind w:firstLine="400"/>
              <w:jc w:val="both"/>
            </w:pPr>
            <w:r>
              <w:rPr>
                <w:sz w:val="20"/>
              </w:rPr>
              <w:t>注：本轮所有保险均为一次性购买，</w:t>
            </w:r>
            <w:r>
              <w:rPr>
                <w:sz w:val="20"/>
              </w:rPr>
              <w:t>保险期自</w:t>
            </w:r>
            <w:r>
              <w:rPr>
                <w:sz w:val="20"/>
              </w:rPr>
              <w:t>2026</w:t>
            </w:r>
            <w:r>
              <w:rPr>
                <w:sz w:val="20"/>
              </w:rPr>
              <w:t>年</w:t>
            </w:r>
            <w:r>
              <w:rPr>
                <w:sz w:val="20"/>
              </w:rPr>
              <w:t>10</w:t>
            </w:r>
            <w:r>
              <w:rPr>
                <w:sz w:val="20"/>
              </w:rPr>
              <w:t>月</w:t>
            </w:r>
            <w:r>
              <w:rPr>
                <w:sz w:val="20"/>
              </w:rPr>
              <w:t>1</w:t>
            </w:r>
            <w:r>
              <w:rPr>
                <w:sz w:val="20"/>
              </w:rPr>
              <w:t>日零时起至</w:t>
            </w:r>
            <w:r>
              <w:rPr>
                <w:sz w:val="20"/>
              </w:rPr>
              <w:t>2027</w:t>
            </w:r>
            <w:r>
              <w:rPr>
                <w:sz w:val="20"/>
              </w:rPr>
              <w:t>年</w:t>
            </w:r>
            <w:r>
              <w:rPr>
                <w:sz w:val="20"/>
              </w:rPr>
              <w:t>9</w:t>
            </w:r>
            <w:r>
              <w:rPr>
                <w:sz w:val="20"/>
              </w:rPr>
              <w:t>月</w:t>
            </w:r>
            <w:r>
              <w:rPr>
                <w:sz w:val="20"/>
              </w:rPr>
              <w:t>30</w:t>
            </w:r>
            <w:r>
              <w:rPr>
                <w:sz w:val="20"/>
              </w:rPr>
              <w:t>日二十四时止</w:t>
            </w:r>
            <w:r>
              <w:rPr>
                <w:sz w:val="20"/>
              </w:rPr>
              <w:t>。</w:t>
            </w:r>
          </w:p>
          <w:p>
            <w:pPr>
              <w:pStyle w:val="null3"/>
              <w:ind w:firstLine="402"/>
              <w:jc w:val="both"/>
            </w:pPr>
            <w:r>
              <w:rPr>
                <w:sz w:val="20"/>
                <w:b/>
              </w:rPr>
              <w:t>二、具体保险内容（原则上包括且不限于以下内容）</w:t>
            </w:r>
          </w:p>
          <w:tbl>
            <w:tblPr>
              <w:tblInd w:type="dxa" w:w="240"/>
              <w:tblBorders>
                <w:top w:val="none" w:color="000000" w:sz="4"/>
                <w:left w:val="none" w:color="000000" w:sz="4"/>
                <w:bottom w:val="none" w:color="000000" w:sz="4"/>
                <w:right w:val="none" w:color="000000" w:sz="4"/>
                <w:insideH w:val="none"/>
                <w:insideV w:val="none"/>
              </w:tblBorders>
            </w:tblPr>
            <w:tblGrid>
              <w:gridCol w:w="1324"/>
              <w:gridCol w:w="1114"/>
              <w:gridCol w:w="2618"/>
              <w:gridCol w:w="542"/>
            </w:tblGrid>
            <w:tr>
              <w:tc>
                <w:tcPr>
                  <w:tcW w:type="dxa" w:w="1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具体保险内容</w:t>
                  </w:r>
                </w:p>
              </w:tc>
              <w:tc>
                <w:tcPr>
                  <w:tcW w:type="dxa" w:w="11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最高可获得的保障金额</w:t>
                  </w:r>
                </w:p>
              </w:tc>
              <w:tc>
                <w:tcPr>
                  <w:tcW w:type="dxa" w:w="26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备注</w:t>
                  </w:r>
                </w:p>
              </w:tc>
              <w:tc>
                <w:tcPr>
                  <w:tcW w:type="dxa" w:w="5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保险费</w:t>
                  </w:r>
                </w:p>
              </w:tc>
            </w:tr>
            <w:tr>
              <w:tc>
                <w:tcPr>
                  <w:tcW w:type="dxa" w:w="1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因意外伤害导致身故、伤残</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3000</w:t>
                  </w:r>
                  <w:r>
                    <w:rPr>
                      <w:sz w:val="20"/>
                    </w:rPr>
                    <w:t>元</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意外身故赔付</w:t>
                  </w:r>
                  <w:r>
                    <w:rPr>
                      <w:sz w:val="20"/>
                    </w:rPr>
                    <w:t>3000</w:t>
                  </w:r>
                  <w:r>
                    <w:rPr>
                      <w:sz w:val="20"/>
                    </w:rPr>
                    <w:t>元，伤残按比例给付</w:t>
                  </w:r>
                </w:p>
              </w:tc>
              <w:tc>
                <w:tcPr>
                  <w:tcW w:type="dxa" w:w="5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r>
                    <w:rPr>
                      <w:sz w:val="20"/>
                    </w:rPr>
                    <w:t>元</w:t>
                  </w:r>
                  <w:r>
                    <w:rPr>
                      <w:sz w:val="20"/>
                    </w:rPr>
                    <w:t>/</w:t>
                  </w:r>
                  <w:r>
                    <w:rPr>
                      <w:sz w:val="20"/>
                    </w:rPr>
                    <w:t>人</w:t>
                  </w:r>
                  <w:r>
                    <w:rPr>
                      <w:sz w:val="20"/>
                    </w:rPr>
                    <w:t>/</w:t>
                  </w:r>
                  <w:r>
                    <w:rPr>
                      <w:sz w:val="20"/>
                    </w:rPr>
                    <w:t>年</w:t>
                  </w:r>
                </w:p>
              </w:tc>
            </w:tr>
            <w:tr>
              <w:tc>
                <w:tcPr>
                  <w:tcW w:type="dxa" w:w="1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因意外伤害导致的住院津贴</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r>
                    <w:rPr>
                      <w:sz w:val="20"/>
                    </w:rPr>
                    <w:t>元</w:t>
                  </w:r>
                  <w:r>
                    <w:rPr>
                      <w:sz w:val="20"/>
                    </w:rPr>
                    <w:t>/</w:t>
                  </w:r>
                  <w:r>
                    <w:rPr>
                      <w:sz w:val="20"/>
                    </w:rPr>
                    <w:t>天</w:t>
                  </w:r>
                </w:p>
                <w:p>
                  <w:pPr>
                    <w:pStyle w:val="null3"/>
                    <w:jc w:val="center"/>
                  </w:pPr>
                  <w:r>
                    <w:rPr>
                      <w:sz w:val="20"/>
                    </w:rPr>
                    <w:t>全年限</w:t>
                  </w:r>
                  <w:r>
                    <w:rPr>
                      <w:sz w:val="20"/>
                    </w:rPr>
                    <w:t>180</w:t>
                  </w:r>
                  <w:r>
                    <w:rPr>
                      <w:sz w:val="20"/>
                    </w:rPr>
                    <w:t>天</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意外住院补贴每日</w:t>
                  </w:r>
                  <w:r>
                    <w:rPr>
                      <w:sz w:val="20"/>
                    </w:rPr>
                    <w:t>30</w:t>
                  </w:r>
                  <w:r>
                    <w:rPr>
                      <w:sz w:val="20"/>
                    </w:rPr>
                    <w:t>元，每次住院给付日数以</w:t>
                  </w:r>
                  <w:r>
                    <w:rPr>
                      <w:sz w:val="20"/>
                    </w:rPr>
                    <w:t>90</w:t>
                  </w:r>
                  <w:r>
                    <w:rPr>
                      <w:sz w:val="20"/>
                    </w:rPr>
                    <w:t>天为限，全年限</w:t>
                  </w:r>
                  <w:r>
                    <w:rPr>
                      <w:sz w:val="20"/>
                    </w:rPr>
                    <w:t>180</w:t>
                  </w:r>
                  <w:r>
                    <w:rPr>
                      <w:sz w:val="20"/>
                    </w:rPr>
                    <w:t>天，累计最高赔付</w:t>
                  </w:r>
                  <w:r>
                    <w:rPr>
                      <w:sz w:val="20"/>
                    </w:rPr>
                    <w:t>5400</w:t>
                  </w:r>
                  <w:r>
                    <w:rPr>
                      <w:sz w:val="20"/>
                    </w:rPr>
                    <w:t>元。</w:t>
                  </w:r>
                </w:p>
              </w:tc>
              <w:tc>
                <w:tcPr>
                  <w:tcW w:type="dxa" w:w="542"/>
                  <w:vMerge/>
                  <w:tcBorders>
                    <w:top w:val="none" w:color="000000" w:sz="4"/>
                    <w:left w:val="none" w:color="000000" w:sz="4"/>
                    <w:bottom w:val="single" w:color="000000" w:sz="4"/>
                    <w:right w:val="single" w:color="000000" w:sz="4"/>
                  </w:tcBorders>
                </w:tcPr>
                <w:p/>
              </w:tc>
            </w:tr>
            <w:tr>
              <w:tc>
                <w:tcPr>
                  <w:tcW w:type="dxa" w:w="1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乘坐营运类机动车意外身故</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30000</w:t>
                  </w:r>
                  <w:r>
                    <w:rPr>
                      <w:sz w:val="20"/>
                    </w:rPr>
                    <w:t>元</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赔付</w:t>
                  </w:r>
                  <w:r>
                    <w:rPr>
                      <w:sz w:val="20"/>
                    </w:rPr>
                    <w:t>30000</w:t>
                  </w:r>
                  <w:r>
                    <w:rPr>
                      <w:sz w:val="20"/>
                    </w:rPr>
                    <w:t>元</w:t>
                  </w:r>
                </w:p>
              </w:tc>
              <w:tc>
                <w:tcPr>
                  <w:tcW w:type="dxa" w:w="542"/>
                  <w:vMerge/>
                  <w:tcBorders>
                    <w:top w:val="none" w:color="000000" w:sz="4"/>
                    <w:left w:val="none" w:color="000000" w:sz="4"/>
                    <w:bottom w:val="single" w:color="000000" w:sz="4"/>
                    <w:right w:val="single" w:color="000000" w:sz="4"/>
                  </w:tcBorders>
                </w:tcPr>
                <w:p/>
              </w:tc>
            </w:tr>
            <w:tr>
              <w:tc>
                <w:tcPr>
                  <w:tcW w:type="dxa" w:w="1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乘坐营运类轨道交通工具意外身故</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30000</w:t>
                  </w:r>
                  <w:r>
                    <w:rPr>
                      <w:sz w:val="20"/>
                    </w:rPr>
                    <w:t>元</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赔付</w:t>
                  </w:r>
                  <w:r>
                    <w:rPr>
                      <w:sz w:val="20"/>
                    </w:rPr>
                    <w:t>30000</w:t>
                  </w:r>
                  <w:r>
                    <w:rPr>
                      <w:sz w:val="20"/>
                    </w:rPr>
                    <w:t>元</w:t>
                  </w:r>
                </w:p>
              </w:tc>
              <w:tc>
                <w:tcPr>
                  <w:tcW w:type="dxa" w:w="542"/>
                  <w:vMerge/>
                  <w:tcBorders>
                    <w:top w:val="none" w:color="000000" w:sz="4"/>
                    <w:left w:val="none" w:color="000000" w:sz="4"/>
                    <w:bottom w:val="single" w:color="000000" w:sz="4"/>
                    <w:right w:val="single" w:color="000000" w:sz="4"/>
                  </w:tcBorders>
                </w:tcPr>
                <w:p/>
              </w:tc>
            </w:tr>
            <w:tr>
              <w:tc>
                <w:tcPr>
                  <w:tcW w:type="dxa" w:w="1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乘坐营运类轮船意外身故</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50000</w:t>
                  </w:r>
                  <w:r>
                    <w:rPr>
                      <w:sz w:val="20"/>
                    </w:rPr>
                    <w:t>元</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赔付</w:t>
                  </w:r>
                  <w:r>
                    <w:rPr>
                      <w:sz w:val="20"/>
                    </w:rPr>
                    <w:t>50000</w:t>
                  </w:r>
                  <w:r>
                    <w:rPr>
                      <w:sz w:val="20"/>
                    </w:rPr>
                    <w:t>元</w:t>
                  </w:r>
                </w:p>
              </w:tc>
              <w:tc>
                <w:tcPr>
                  <w:tcW w:type="dxa" w:w="542"/>
                  <w:vMerge/>
                  <w:tcBorders>
                    <w:top w:val="none" w:color="000000" w:sz="4"/>
                    <w:left w:val="none" w:color="000000" w:sz="4"/>
                    <w:bottom w:val="single" w:color="000000" w:sz="4"/>
                    <w:right w:val="single" w:color="000000" w:sz="4"/>
                  </w:tcBorders>
                </w:tcPr>
                <w:p/>
              </w:tc>
            </w:tr>
            <w:tr>
              <w:tc>
                <w:tcPr>
                  <w:tcW w:type="dxa" w:w="1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乘坐营运类航空交通工具意外身故</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100000</w:t>
                  </w:r>
                  <w:r>
                    <w:rPr>
                      <w:sz w:val="20"/>
                    </w:rPr>
                    <w:t>元</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赔付</w:t>
                  </w:r>
                  <w:r>
                    <w:rPr>
                      <w:sz w:val="20"/>
                    </w:rPr>
                    <w:t>100000</w:t>
                  </w:r>
                  <w:r>
                    <w:rPr>
                      <w:sz w:val="20"/>
                    </w:rPr>
                    <w:t>元</w:t>
                  </w:r>
                </w:p>
              </w:tc>
              <w:tc>
                <w:tcPr>
                  <w:tcW w:type="dxa" w:w="542"/>
                  <w:vMerge/>
                  <w:tcBorders>
                    <w:top w:val="none" w:color="000000" w:sz="4"/>
                    <w:left w:val="none" w:color="000000" w:sz="4"/>
                    <w:bottom w:val="single" w:color="000000" w:sz="4"/>
                    <w:right w:val="single" w:color="000000" w:sz="4"/>
                  </w:tcBorders>
                </w:tcPr>
                <w:p/>
              </w:tc>
            </w:tr>
          </w:tbl>
          <w:p>
            <w:pPr>
              <w:pStyle w:val="null3"/>
              <w:ind w:firstLine="400"/>
              <w:jc w:val="both"/>
            </w:pPr>
            <w:r>
              <w:rPr>
                <w:sz w:val="20"/>
              </w:rPr>
              <w:t>具体保障责任如下（原则上包括且不限于以下内容）：</w:t>
            </w:r>
          </w:p>
          <w:p>
            <w:pPr>
              <w:pStyle w:val="null3"/>
              <w:ind w:firstLine="400"/>
              <w:jc w:val="both"/>
            </w:pPr>
            <w:r>
              <w:rPr>
                <w:sz w:val="20"/>
              </w:rPr>
              <w:t>1.</w:t>
            </w:r>
            <w:r>
              <w:rPr>
                <w:sz w:val="20"/>
              </w:rPr>
              <w:t>意外伤害身故。意外伤害是指遭受外来的、突发的、非本意的、非疾病的客观事件直接致使身体受到的伤害。主要包括：乘坐公交车或其它交通工具，户内外及公共场所发生的交通事故、磕碰、摔倒、高空坠物等意外人身伤害。被保险人遭受意外伤害，并自该意外伤害发生之日起</w:t>
            </w:r>
            <w:r>
              <w:rPr>
                <w:sz w:val="20"/>
              </w:rPr>
              <w:t>180</w:t>
            </w:r>
            <w:r>
              <w:rPr>
                <w:sz w:val="20"/>
              </w:rPr>
              <w:t>天内因该意外伤害导致身故的，保险公司按协议约定的保险金额扣除已给付伤残保险金后的余额给付身故保险金。</w:t>
            </w:r>
          </w:p>
          <w:p>
            <w:pPr>
              <w:pStyle w:val="null3"/>
              <w:ind w:firstLine="400"/>
              <w:jc w:val="both"/>
            </w:pPr>
            <w:r>
              <w:rPr>
                <w:sz w:val="20"/>
              </w:rPr>
              <w:t>2.</w:t>
            </w:r>
            <w:r>
              <w:rPr>
                <w:sz w:val="20"/>
              </w:rPr>
              <w:t>意外伤害伤残。被保险人遭受意外伤害，并自该意外伤害发生之日起</w:t>
            </w:r>
            <w:r>
              <w:rPr>
                <w:sz w:val="20"/>
              </w:rPr>
              <w:t>180</w:t>
            </w:r>
            <w:r>
              <w:rPr>
                <w:sz w:val="20"/>
              </w:rPr>
              <w:t>天内因该意外伤害导致身体伤残的，保险公司根据《人身保险伤残评定标准及代码》（</w:t>
            </w:r>
            <w:r>
              <w:rPr>
                <w:sz w:val="20"/>
              </w:rPr>
              <w:t>JR/T 0083</w:t>
            </w:r>
            <w:r>
              <w:rPr>
                <w:sz w:val="20"/>
              </w:rPr>
              <w:t>—</w:t>
            </w:r>
            <w:r>
              <w:rPr>
                <w:sz w:val="20"/>
              </w:rPr>
              <w:t>2013</w:t>
            </w:r>
            <w:r>
              <w:rPr>
                <w:sz w:val="20"/>
              </w:rPr>
              <w:t>）规定，被保险人的意外伤害保险金额乘以该处伤残的伤残等级所对应的保险金给付比例给付伤残保险金。</w:t>
            </w:r>
          </w:p>
          <w:p>
            <w:pPr>
              <w:pStyle w:val="null3"/>
              <w:ind w:firstLine="400"/>
              <w:jc w:val="both"/>
            </w:pPr>
            <w:r>
              <w:rPr>
                <w:sz w:val="20"/>
              </w:rPr>
              <w:t>3.</w:t>
            </w:r>
            <w:r>
              <w:rPr>
                <w:sz w:val="20"/>
              </w:rPr>
              <w:t>意外住院津贴。被保险人遭受意外伤害，并因该意外伤害在二级以上（含二级）医院或保险公司认可的其他医疗机构住院治疗，保险公司按合同约定的住院日定额给付金额乘以实际住院日数给付保险金，但对每次住院的给付日数以</w:t>
            </w:r>
            <w:r>
              <w:rPr>
                <w:sz w:val="20"/>
              </w:rPr>
              <w:t>90</w:t>
            </w:r>
            <w:r>
              <w:rPr>
                <w:sz w:val="20"/>
              </w:rPr>
              <w:t>天为限。被保险人多次住院的，累计给付日数以</w:t>
            </w:r>
            <w:r>
              <w:rPr>
                <w:sz w:val="20"/>
              </w:rPr>
              <w:t>180</w:t>
            </w:r>
            <w:r>
              <w:rPr>
                <w:sz w:val="20"/>
              </w:rPr>
              <w:t>天为限。</w:t>
            </w:r>
          </w:p>
          <w:p>
            <w:pPr>
              <w:pStyle w:val="null3"/>
              <w:ind w:firstLine="400"/>
              <w:jc w:val="both"/>
            </w:pPr>
            <w:r>
              <w:rPr>
                <w:sz w:val="20"/>
              </w:rPr>
              <w:t>4.</w:t>
            </w:r>
            <w:r>
              <w:rPr>
                <w:sz w:val="20"/>
              </w:rPr>
              <w:t>乘坐营运类交通工具。被保险人乘坐协议约定的营运类交通工具时遭受意外伤害身故，保险公司按协议方案给付保险金。</w:t>
            </w:r>
          </w:p>
          <w:p>
            <w:pPr>
              <w:pStyle w:val="null3"/>
              <w:ind w:firstLine="402"/>
              <w:jc w:val="both"/>
            </w:pPr>
            <w:r>
              <w:rPr>
                <w:sz w:val="20"/>
                <w:b/>
              </w:rPr>
              <w:t>三、其他内容</w:t>
            </w:r>
          </w:p>
          <w:p>
            <w:pPr>
              <w:pStyle w:val="null3"/>
              <w:ind w:firstLine="400"/>
              <w:jc w:val="both"/>
            </w:pPr>
            <w:r>
              <w:rPr>
                <w:sz w:val="20"/>
              </w:rPr>
              <w:t>1</w:t>
            </w:r>
            <w:r>
              <w:rPr>
                <w:sz w:val="20"/>
              </w:rPr>
              <w:t>、供应商须对本项目的采购标的进行整体响应，任何只对本项目采购标的其中一部分内容、数量进行的响应都被视为无效响应。</w:t>
            </w:r>
          </w:p>
          <w:p>
            <w:pPr>
              <w:pStyle w:val="null3"/>
              <w:ind w:firstLine="400"/>
              <w:jc w:val="both"/>
            </w:pPr>
            <w:r>
              <w:rPr>
                <w:sz w:val="20"/>
              </w:rPr>
              <w:t>2</w:t>
            </w:r>
            <w:r>
              <w:rPr>
                <w:sz w:val="20"/>
              </w:rPr>
              <w:t>、成交供应商理赔响应时间一般不超过</w:t>
            </w:r>
            <w:r>
              <w:rPr>
                <w:sz w:val="20"/>
              </w:rPr>
              <w:t>15</w:t>
            </w:r>
            <w:r>
              <w:rPr>
                <w:sz w:val="20"/>
              </w:rPr>
              <w:t>个自然日，做到及时、足额赔付，切实维护老年人的合法权益。</w:t>
            </w:r>
          </w:p>
          <w:p>
            <w:pPr>
              <w:pStyle w:val="null3"/>
              <w:ind w:firstLine="400"/>
              <w:jc w:val="both"/>
            </w:pPr>
            <w:r>
              <w:rPr>
                <w:sz w:val="20"/>
              </w:rPr>
              <w:t>3</w:t>
            </w:r>
            <w:r>
              <w:rPr>
                <w:sz w:val="20"/>
              </w:rPr>
              <w:t>、成交供应商应按月报送参保数据、理赔案例（含成功与未成功案例）及资金使用情况等</w:t>
            </w:r>
            <w:r>
              <w:rPr>
                <w:sz w:val="20"/>
              </w:rPr>
              <w:t>。采购人</w:t>
            </w:r>
            <w:r>
              <w:rPr>
                <w:sz w:val="20"/>
              </w:rPr>
              <w:t>将适时联合金融监管等部门</w:t>
            </w:r>
            <w:r>
              <w:rPr>
                <w:sz w:val="20"/>
              </w:rPr>
              <w:t>随机抽取已赔付案例</w:t>
            </w:r>
            <w:r>
              <w:rPr>
                <w:sz w:val="20"/>
              </w:rPr>
              <w:t>，核实申请材料真实性、赔付标准合规性及到账时效；对赔付不成功的案例，应提供情况说明拒赔原因。</w:t>
            </w:r>
          </w:p>
          <w:p>
            <w:pPr>
              <w:pStyle w:val="null3"/>
              <w:ind w:firstLine="400"/>
              <w:jc w:val="both"/>
            </w:pPr>
            <w:r>
              <w:rPr>
                <w:sz w:val="20"/>
              </w:rPr>
              <w:t>4</w:t>
            </w:r>
            <w:r>
              <w:rPr>
                <w:sz w:val="20"/>
              </w:rPr>
              <w:t>、成交供应商负责保险业务的办理和解释工作，向参保对象提供意外伤害保险简介，列明完整保险内容，制作宣传物料（包括横幅、展架、海报、宣传彩页等），不定期开展各种形式宣传活动。若成交供应商的宣传力度不到位，采购人有权要求成交供应商继续加大力度进行宣传，直至宣传到位为止，由此产生的费用由成交供应商负责。</w:t>
            </w:r>
          </w:p>
          <w:p>
            <w:pPr>
              <w:pStyle w:val="null3"/>
              <w:ind w:firstLine="400"/>
              <w:jc w:val="both"/>
            </w:pPr>
            <w:r>
              <w:rPr/>
              <w:t>5</w:t>
            </w:r>
            <w:r>
              <w:rPr/>
              <w:t>、在服务期限内，本项目的老年人意外伤害保险相关事项如遇国家、省市、区相关政策调整，自相关新政策实施之日起按照最新的相关政策执行。</w:t>
            </w:r>
          </w:p>
          <w:p>
            <w:pPr>
              <w:pStyle w:val="null3"/>
              <w:ind w:firstLine="402"/>
              <w:jc w:val="both"/>
            </w:pPr>
            <w:r>
              <w:rPr>
                <w:sz w:val="20"/>
                <w:b/>
              </w:rPr>
              <w:t>★四、责任免除条款承诺（提供承诺函，格式自拟。以下条款内容可以减少，不得增加。如保险条款与下述条款表述不同，但表达的意思一致也视为满足。）</w:t>
            </w:r>
          </w:p>
          <w:p>
            <w:pPr>
              <w:pStyle w:val="null3"/>
              <w:ind w:firstLine="402"/>
              <w:jc w:val="both"/>
            </w:pPr>
            <w:r>
              <w:rPr>
                <w:sz w:val="20"/>
                <w:b/>
              </w:rPr>
              <w:t>（一）因下列情形之一，导致被保险人身故或伤残的，供应商无需承担给付意外身故保险金或意外伤残保险金的责任：</w:t>
            </w:r>
          </w:p>
          <w:p>
            <w:pPr>
              <w:pStyle w:val="null3"/>
              <w:ind w:firstLine="400"/>
              <w:jc w:val="both"/>
            </w:pPr>
            <w:r>
              <w:rPr>
                <w:sz w:val="20"/>
              </w:rPr>
              <w:t>（</w:t>
            </w:r>
            <w:r>
              <w:rPr>
                <w:sz w:val="20"/>
              </w:rPr>
              <w:t>1</w:t>
            </w:r>
            <w:r>
              <w:rPr>
                <w:sz w:val="20"/>
              </w:rPr>
              <w:t>）被保险人猝死；</w:t>
            </w:r>
          </w:p>
          <w:p>
            <w:pPr>
              <w:pStyle w:val="null3"/>
              <w:ind w:firstLine="400"/>
              <w:jc w:val="both"/>
            </w:pPr>
            <w:r>
              <w:rPr>
                <w:sz w:val="20"/>
              </w:rPr>
              <w:t>（</w:t>
            </w:r>
            <w:r>
              <w:rPr>
                <w:sz w:val="20"/>
              </w:rPr>
              <w:t>2</w:t>
            </w:r>
            <w:r>
              <w:rPr>
                <w:sz w:val="20"/>
              </w:rPr>
              <w:t>）被保险人故意犯罪或抗拒依法采取的刑事强制措施；</w:t>
            </w:r>
          </w:p>
          <w:p>
            <w:pPr>
              <w:pStyle w:val="null3"/>
              <w:ind w:firstLine="400"/>
              <w:jc w:val="both"/>
            </w:pPr>
            <w:r>
              <w:rPr>
                <w:sz w:val="20"/>
              </w:rPr>
              <w:t>（</w:t>
            </w:r>
            <w:r>
              <w:rPr>
                <w:sz w:val="20"/>
              </w:rPr>
              <w:t>3</w:t>
            </w:r>
            <w:r>
              <w:rPr>
                <w:sz w:val="20"/>
              </w:rPr>
              <w:t>）被保险人自杀或故意自伤，但被保险人自杀或故意自伤时为无民事行为能力人的除外；</w:t>
            </w:r>
          </w:p>
          <w:p>
            <w:pPr>
              <w:pStyle w:val="null3"/>
              <w:ind w:firstLine="400"/>
              <w:jc w:val="both"/>
            </w:pPr>
            <w:r>
              <w:rPr>
                <w:sz w:val="20"/>
              </w:rPr>
              <w:t>（</w:t>
            </w:r>
            <w:r>
              <w:rPr>
                <w:sz w:val="20"/>
              </w:rPr>
              <w:t>4</w:t>
            </w:r>
            <w:r>
              <w:rPr>
                <w:sz w:val="20"/>
              </w:rPr>
              <w:t>）被保险人斗殴、醉酒，服用、吸食或注射毒品；</w:t>
            </w:r>
          </w:p>
          <w:p>
            <w:pPr>
              <w:pStyle w:val="null3"/>
              <w:ind w:firstLine="400"/>
              <w:jc w:val="both"/>
            </w:pPr>
            <w:r>
              <w:rPr>
                <w:sz w:val="20"/>
              </w:rPr>
              <w:t>（</w:t>
            </w:r>
            <w:r>
              <w:rPr>
                <w:sz w:val="20"/>
              </w:rPr>
              <w:t>5</w:t>
            </w:r>
            <w:r>
              <w:rPr>
                <w:sz w:val="20"/>
              </w:rPr>
              <w:t>）被保险人酒后驾驶、无合法有效驾驶证驾驶，或驾驶无合法有效行驶证的机动车；</w:t>
            </w:r>
          </w:p>
          <w:p>
            <w:pPr>
              <w:pStyle w:val="null3"/>
              <w:ind w:firstLine="400"/>
              <w:jc w:val="both"/>
            </w:pPr>
            <w:r>
              <w:rPr>
                <w:sz w:val="20"/>
              </w:rPr>
              <w:t>（</w:t>
            </w:r>
            <w:r>
              <w:rPr>
                <w:sz w:val="20"/>
              </w:rPr>
              <w:t>6</w:t>
            </w:r>
            <w:r>
              <w:rPr>
                <w:sz w:val="20"/>
              </w:rPr>
              <w:t>）被保险人未遵医嘱，私自使用或服用药物，但按使用说明的规定使用非处方药不在此限；</w:t>
            </w:r>
          </w:p>
          <w:p>
            <w:pPr>
              <w:pStyle w:val="null3"/>
              <w:ind w:firstLine="400"/>
              <w:jc w:val="both"/>
            </w:pPr>
            <w:r>
              <w:rPr>
                <w:sz w:val="20"/>
              </w:rPr>
              <w:t>（</w:t>
            </w:r>
            <w:r>
              <w:rPr>
                <w:sz w:val="20"/>
              </w:rPr>
              <w:t>7</w:t>
            </w:r>
            <w:r>
              <w:rPr>
                <w:sz w:val="20"/>
              </w:rPr>
              <w:t>）被保险人参加潜水、跳伞、攀岩、驾乘滑翔机或滑翔伞、探险、摔跤、武术比赛、特技表演、赛马、赛车等高风险运动；</w:t>
            </w:r>
          </w:p>
          <w:p>
            <w:pPr>
              <w:pStyle w:val="null3"/>
              <w:ind w:firstLine="400"/>
              <w:jc w:val="both"/>
            </w:pPr>
            <w:r>
              <w:rPr>
                <w:sz w:val="20"/>
              </w:rPr>
              <w:t>（</w:t>
            </w:r>
            <w:r>
              <w:rPr>
                <w:sz w:val="20"/>
              </w:rPr>
              <w:t>8</w:t>
            </w:r>
            <w:r>
              <w:rPr>
                <w:sz w:val="20"/>
              </w:rPr>
              <w:t>）被保险人的产前产后检查、妊娠（含宫外孕）、流产（含人工流产）、分挽（含剖腹产）、避孕、绝育手术、治疗不孕不育症以及上述原因引起的并发症；</w:t>
            </w:r>
          </w:p>
          <w:p>
            <w:pPr>
              <w:pStyle w:val="null3"/>
              <w:ind w:firstLine="400"/>
              <w:jc w:val="both"/>
            </w:pPr>
            <w:r>
              <w:rPr>
                <w:sz w:val="20"/>
              </w:rPr>
              <w:t>（</w:t>
            </w:r>
            <w:r>
              <w:rPr>
                <w:sz w:val="20"/>
              </w:rPr>
              <w:t>9</w:t>
            </w:r>
            <w:r>
              <w:rPr>
                <w:sz w:val="20"/>
              </w:rPr>
              <w:t>）被保险人的精神和行为障碍；</w:t>
            </w:r>
          </w:p>
          <w:p>
            <w:pPr>
              <w:pStyle w:val="null3"/>
              <w:ind w:firstLine="400"/>
              <w:jc w:val="both"/>
            </w:pPr>
            <w:r>
              <w:rPr>
                <w:sz w:val="20"/>
              </w:rPr>
              <w:t>（</w:t>
            </w:r>
            <w:r>
              <w:rPr>
                <w:sz w:val="20"/>
              </w:rPr>
              <w:t>10</w:t>
            </w:r>
            <w:r>
              <w:rPr>
                <w:sz w:val="20"/>
              </w:rPr>
              <w:t>）战争、暴乱或武装叛乱；</w:t>
            </w:r>
          </w:p>
          <w:p>
            <w:pPr>
              <w:pStyle w:val="null3"/>
              <w:ind w:firstLine="400"/>
              <w:jc w:val="both"/>
            </w:pPr>
            <w:r>
              <w:rPr>
                <w:sz w:val="20"/>
              </w:rPr>
              <w:t>（</w:t>
            </w:r>
            <w:r>
              <w:rPr>
                <w:sz w:val="20"/>
              </w:rPr>
              <w:t>11</w:t>
            </w:r>
            <w:r>
              <w:rPr>
                <w:sz w:val="20"/>
              </w:rPr>
              <w:t>）核燥炸、核辐射或核污染。</w:t>
            </w:r>
          </w:p>
          <w:p>
            <w:pPr>
              <w:pStyle w:val="null3"/>
              <w:ind w:firstLine="402"/>
              <w:jc w:val="both"/>
            </w:pPr>
            <w:r>
              <w:rPr>
                <w:sz w:val="20"/>
                <w:b/>
              </w:rPr>
              <w:t>（二）因下列情形之一，导致被保险人住院治疗的，供应商无需承担给付保险金责任：</w:t>
            </w:r>
          </w:p>
          <w:p>
            <w:pPr>
              <w:pStyle w:val="null3"/>
            </w:pPr>
            <w:r>
              <w:rPr>
                <w:sz w:val="20"/>
              </w:rPr>
              <w:t>（</w:t>
            </w:r>
            <w:r>
              <w:rPr>
                <w:sz w:val="20"/>
              </w:rPr>
              <w:t>1</w:t>
            </w:r>
            <w:r>
              <w:rPr>
                <w:sz w:val="20"/>
              </w:rPr>
              <w:t>）被保险人的洗牙、牙齿美白、正畸、烤瓷牙、种植牙或镶牙等牙齿保健和修复。</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0"/>
              </w:rPr>
              <w:t>供应商具有承接本项目所需的保障方案、服务方案、理赔模式、网点数量等服务方案。</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1.采购代理机构：本项目是指广东恒胜建设监理有限公司，负责整个采购活动的组织，依法负责编制和发布磋商文件，对磋商文件拥有最终的解释权，不以任何身份出任磋商小组成员。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汕头市澄海区民政局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采购代理合同的收费标准,本次采购向成交供应商收取成交服务费，成交供应商在领取《成交通知书》时应向采购代理机构交纳成交服务费，按预算金额为基数按差额定率累进法并下浮20%计算服务费，0-100万 ：15000元 ；100-500万：0.8 %；500-1000万元：0.45%，共计人民币壹万柒仟伍佰捌拾肆元整（17584.00元），代理服务费支付方式：一次性以电汇、支票或现金等形式支付（收款人：广东恒胜建设监理有限公司；开户银行：建设银行澄海支行；银行账户：44001650101050418491）。</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 xml:space="preserve">（2）非加密电子版文件 U 盘(或光盘) </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异常低价审核，异常低价审核，评审中出现下列情形之一的，评标委员会（评审小组）应当启动异常低价投标审查程序：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4.评审委员会基于专业判断，认为供应商报价过低，有可能影响产品质量或者不能诚信履约的其他情形。 被启动异常低价审查的供应商，如果不提供书面说明、证明材料，或者提供的书面说明、证明材料不能证明其报价合理性的，应当将其作为无效投标处理。通过异常低价审查的不足3家，不得进入详细评审。</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30分钟内</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；请各供应商在响应文件递交截止时间前按须知前附表规定的金额递交至</w:t>
      </w:r>
      <w:r>
        <w:rPr/>
        <w:t>广东恒胜建设监理有限公司</w:t>
      </w:r>
      <w:r>
        <w:rPr/>
        <w:t>，到账情况以开启时</w:t>
      </w:r>
      <w:r>
        <w:rPr/>
        <w:t>广东恒胜建设监理有限公司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中国采购与招标(www.chinabidding.com.cn)，中国财经报（www.cfen.com.cn），广东恒胜建设监理有限公司网(www.gdhsjl.com)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中国采购与招标(www.chinabidding.com.cn)，中国财经报（www.cfen.com.cn），广东恒胜建设监理有限公司网(www.gdhsjl.com)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吴女士</w:t>
      </w:r>
    </w:p>
    <w:p>
      <w:pPr>
        <w:pStyle w:val="null3"/>
        <w:ind w:firstLine="480"/>
      </w:pPr>
      <w:r>
        <w:rPr/>
        <w:t>电话：</w:t>
      </w:r>
      <w:r>
        <w:rPr/>
        <w:t>0754-85861273</w:t>
      </w:r>
    </w:p>
    <w:p>
      <w:pPr>
        <w:pStyle w:val="null3"/>
        <w:ind w:firstLine="480"/>
      </w:pPr>
      <w:r>
        <w:rPr/>
        <w:t>传真：</w:t>
      </w:r>
      <w:r>
        <w:rPr/>
        <w:t>0754-85874173</w:t>
      </w:r>
    </w:p>
    <w:p>
      <w:pPr>
        <w:pStyle w:val="null3"/>
        <w:ind w:firstLine="480"/>
      </w:pPr>
      <w:r>
        <w:rPr/>
        <w:t>邮箱：</w:t>
      </w:r>
      <w:r>
        <w:rPr/>
        <w:t>gdhsgs@126.com</w:t>
      </w:r>
    </w:p>
    <w:p>
      <w:pPr>
        <w:pStyle w:val="null3"/>
        <w:ind w:firstLine="480"/>
      </w:pPr>
      <w:r>
        <w:rPr/>
        <w:t>地址：</w:t>
      </w:r>
      <w:r>
        <w:rPr/>
        <w:t>汕头市澄海区国道324线西侧协和大厦北梯二楼201号</w:t>
      </w:r>
    </w:p>
    <w:p>
      <w:pPr>
        <w:pStyle w:val="null3"/>
        <w:ind w:firstLine="480"/>
      </w:pPr>
      <w:r>
        <w:rPr/>
        <w:t>邮编：</w:t>
      </w:r>
      <w:r>
        <w:rPr/>
        <w:t>515800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政府采购监督管理机构名称：汕头市澄海区财政局政府采购监管股</w:t>
      </w:r>
    </w:p>
    <w:p>
      <w:pPr>
        <w:pStyle w:val="null3"/>
      </w:pPr>
      <w:r>
        <w:rPr/>
        <w:t>地 址：汕头市澄海区德政路财政局4楼政府采购管理办公室</w:t>
      </w:r>
    </w:p>
    <w:p>
      <w:pPr>
        <w:pStyle w:val="null3"/>
      </w:pPr>
      <w:r>
        <w:rPr/>
        <w:t>电 话：0754-85836482</w:t>
      </w:r>
    </w:p>
    <w:p>
      <w:pPr>
        <w:pStyle w:val="null3"/>
      </w:pPr>
      <w:r>
        <w:rPr/>
        <w:t>邮 编：515800</w:t>
      </w:r>
    </w:p>
    <w:p>
      <w:pPr>
        <w:pStyle w:val="null3"/>
      </w:pPr>
      <w:r>
        <w:rPr/>
        <w:t>传 真：0754-85836482</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汕头市澄海区老年人意外伤害保险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广东恒胜建设监理有限公司</w:t>
      </w:r>
      <w:r>
        <w:rPr/>
        <w:t>统一对外发布。</w:t>
      </w:r>
    </w:p>
    <w:p>
      <w:pPr>
        <w:pStyle w:val="null3"/>
        <w:ind w:firstLine="480"/>
      </w:pPr>
      <w:r>
        <w:rPr/>
        <w:t>（2）对</w:t>
      </w:r>
      <w:r>
        <w:rPr/>
        <w:t>广东恒胜建设监理有限公司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采购包1（汕头市澄海区老年人意外伤害保险项目）：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20%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采购包1（汕头市澄海区老年人意外伤害保险项目）：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供应商承诺依法缴纳税收和社会保障资金（格式详见附件：汕头市政府采购供应商信用承诺函）。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供应商承诺具有良好的商业信誉和健全的财务会计制度（格式详见附件：汕头市政府采购供应商信用承诺函）。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格式详见附件：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许可证</w:t>
            </w:r>
          </w:p>
        </w:tc>
        <w:tc>
          <w:tcPr>
            <w:tcW w:type="dxa" w:w="4238"/>
          </w:tcPr>
          <w:p>
            <w:pPr>
              <w:pStyle w:val="null3"/>
            </w:pPr>
            <w:r>
              <w:rPr/>
              <w:t>供应商须具有中国银行保险监督管理委员会（中国保险监督管理委员会）颁发的经营保险业务许可证或保险许可证。</w:t>
            </w:r>
          </w:p>
        </w:tc>
      </w:tr>
      <w:tr>
        <w:tc>
          <w:tcPr>
            <w:tcW w:type="dxa" w:w="890"/>
          </w:tcPr>
          <w:p>
            <w:pPr>
              <w:pStyle w:val="null3"/>
            </w:pPr>
            <w:r>
              <w:rPr/>
              <w:t>9</w:t>
            </w:r>
          </w:p>
        </w:tc>
        <w:tc>
          <w:tcPr>
            <w:tcW w:type="dxa" w:w="3178"/>
          </w:tcPr>
          <w:p>
            <w:pPr>
              <w:pStyle w:val="null3"/>
            </w:pPr>
            <w:r>
              <w:rPr/>
              <w:t>是否接受联合体</w:t>
            </w:r>
          </w:p>
        </w:tc>
        <w:tc>
          <w:tcPr>
            <w:tcW w:type="dxa" w:w="4238"/>
          </w:tcPr>
          <w:p>
            <w:pPr>
              <w:pStyle w:val="null3"/>
            </w:pPr>
            <w:r>
              <w:rPr/>
              <w:t>本采购包不接受联合体响应。</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采购包1（汕头市澄海区老年人意外伤害保险项目）：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响应报价</w:t>
            </w:r>
          </w:p>
        </w:tc>
        <w:tc>
          <w:tcPr>
            <w:tcW w:type="dxa" w:w="4238"/>
          </w:tcPr>
          <w:p>
            <w:pPr>
              <w:pStyle w:val="null3"/>
            </w:pPr>
            <w:r>
              <w:rPr/>
              <w:t>1）报价未超过本项目采购预算金额；2）对本项目内全部内容进行报价；3）报价没有出现异常低价的情况,且是唯一确定的。</w:t>
            </w:r>
          </w:p>
        </w:tc>
      </w:tr>
      <w:tr>
        <w:tc>
          <w:tcPr>
            <w:tcW w:type="dxa" w:w="890"/>
          </w:tcPr>
          <w:p>
            <w:pPr>
              <w:pStyle w:val="null3"/>
            </w:pPr>
            <w:r>
              <w:rPr/>
              <w:t>2</w:t>
            </w:r>
          </w:p>
        </w:tc>
        <w:tc>
          <w:tcPr>
            <w:tcW w:type="dxa" w:w="3178"/>
          </w:tcPr>
          <w:p>
            <w:pPr>
              <w:pStyle w:val="null3"/>
            </w:pPr>
            <w:r>
              <w:rPr/>
              <w:t>盖章</w:t>
            </w:r>
          </w:p>
        </w:tc>
        <w:tc>
          <w:tcPr>
            <w:tcW w:type="dxa" w:w="4238"/>
          </w:tcPr>
          <w:p>
            <w:pPr>
              <w:pStyle w:val="null3"/>
            </w:pPr>
            <w:r>
              <w:rPr/>
              <w:t>响应文件明示盖公章处有加盖公章。</w:t>
            </w:r>
          </w:p>
        </w:tc>
      </w:tr>
      <w:tr>
        <w:tc>
          <w:tcPr>
            <w:tcW w:type="dxa" w:w="890"/>
          </w:tcPr>
          <w:p>
            <w:pPr>
              <w:pStyle w:val="null3"/>
            </w:pPr>
            <w:r>
              <w:rPr/>
              <w:t>3</w:t>
            </w:r>
          </w:p>
        </w:tc>
        <w:tc>
          <w:tcPr>
            <w:tcW w:type="dxa" w:w="3178"/>
          </w:tcPr>
          <w:p>
            <w:pPr>
              <w:pStyle w:val="null3"/>
            </w:pPr>
            <w:r>
              <w:rPr/>
              <w:t>签字</w:t>
            </w:r>
          </w:p>
        </w:tc>
        <w:tc>
          <w:tcPr>
            <w:tcW w:type="dxa" w:w="4238"/>
          </w:tcPr>
          <w:p>
            <w:pPr>
              <w:pStyle w:val="null3"/>
            </w:pPr>
            <w:r>
              <w:rPr/>
              <w:t>响应文件明示需签字处有法定代表人或授权代表签字的。</w:t>
            </w:r>
          </w:p>
        </w:tc>
      </w:tr>
      <w:tr>
        <w:tc>
          <w:tcPr>
            <w:tcW w:type="dxa" w:w="890"/>
          </w:tcPr>
          <w:p>
            <w:pPr>
              <w:pStyle w:val="null3"/>
            </w:pPr>
            <w:r>
              <w:rPr/>
              <w:t>4</w:t>
            </w:r>
          </w:p>
        </w:tc>
        <w:tc>
          <w:tcPr>
            <w:tcW w:type="dxa" w:w="3178"/>
          </w:tcPr>
          <w:p>
            <w:pPr>
              <w:pStyle w:val="null3"/>
            </w:pPr>
            <w:r>
              <w:rPr/>
              <w:t>响应有效期</w:t>
            </w:r>
          </w:p>
        </w:tc>
        <w:tc>
          <w:tcPr>
            <w:tcW w:type="dxa" w:w="4238"/>
          </w:tcPr>
          <w:p>
            <w:pPr>
              <w:pStyle w:val="null3"/>
            </w:pPr>
            <w:r>
              <w:rPr/>
              <w:t>响应有效期满足磋商文件要求。</w:t>
            </w:r>
          </w:p>
        </w:tc>
      </w:tr>
      <w:tr>
        <w:tc>
          <w:tcPr>
            <w:tcW w:type="dxa" w:w="890"/>
          </w:tcPr>
          <w:p>
            <w:pPr>
              <w:pStyle w:val="null3"/>
            </w:pPr>
            <w:r>
              <w:rPr/>
              <w:t>5</w:t>
            </w:r>
          </w:p>
        </w:tc>
        <w:tc>
          <w:tcPr>
            <w:tcW w:type="dxa" w:w="3178"/>
          </w:tcPr>
          <w:p>
            <w:pPr>
              <w:pStyle w:val="null3"/>
            </w:pPr>
            <w:r>
              <w:rPr/>
              <w:t>响应文件编制</w:t>
            </w:r>
          </w:p>
        </w:tc>
        <w:tc>
          <w:tcPr>
            <w:tcW w:type="dxa" w:w="4238"/>
          </w:tcPr>
          <w:p>
            <w:pPr>
              <w:pStyle w:val="null3"/>
            </w:pPr>
            <w:r>
              <w:rPr/>
              <w:t>响应文件能按磋商文件的要求编制。</w:t>
            </w:r>
          </w:p>
        </w:tc>
      </w:tr>
      <w:tr>
        <w:tc>
          <w:tcPr>
            <w:tcW w:type="dxa" w:w="890"/>
          </w:tcPr>
          <w:p>
            <w:pPr>
              <w:pStyle w:val="null3"/>
            </w:pPr>
            <w:r>
              <w:rPr/>
              <w:t>6</w:t>
            </w:r>
          </w:p>
        </w:tc>
        <w:tc>
          <w:tcPr>
            <w:tcW w:type="dxa" w:w="3178"/>
          </w:tcPr>
          <w:p>
            <w:pPr>
              <w:pStyle w:val="null3"/>
            </w:pPr>
            <w:r>
              <w:rPr/>
              <w:t>其他条款</w:t>
            </w:r>
          </w:p>
        </w:tc>
        <w:tc>
          <w:tcPr>
            <w:tcW w:type="dxa" w:w="4238"/>
          </w:tcPr>
          <w:p>
            <w:pPr>
              <w:pStyle w:val="null3"/>
            </w:pPr>
            <w:r>
              <w:rPr/>
              <w:t>符合磋商文件中规定的其它条款。</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采购包1(汕头市澄海区老年人意外伤害保险项目):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保障方案 (16.0分)</w:t>
            </w:r>
          </w:p>
        </w:tc>
        <w:tc>
          <w:tcPr>
            <w:tcW w:type="dxa" w:w="5076"/>
          </w:tcPr>
          <w:p>
            <w:pPr>
              <w:pStyle w:val="null3"/>
              <w:jc w:val="left"/>
            </w:pPr>
            <w:r>
              <w:rPr/>
              <w:t>1、保障标准：在意外伤害导致身故、伤残保险金额3000元的基础上，每增加1000元得1分，该项最高得6分； 2、保障标准：在意外伤害导致的住院津贴30元/天的基础上，每增加10元得1分，该项最高得6分。 3、保障标准：在乘坐营运类机动车意外身故保险金额30000元得基础上，每增加30000元得1分，该项最高得1分。 4、保障标准：在乘坐营运类轨道交通工具意外身故保险金额30000元的基础上，每增加30000元得1分，该项最高得1分。 5、保障标准：在乘坐营运类轮船意外身故保险金额50000元的基础上，每增加50000元得1分，该项最高得1分。 6、保障标准：在乘坐营运类航空交通工具意外身故保险金额100000元的基础上，每增加100000元得1分，该项最高得1分。</w:t>
            </w:r>
          </w:p>
        </w:tc>
      </w:tr>
      <w:tr>
        <w:tc>
          <w:tcPr>
            <w:tcW w:type="dxa" w:w="922"/>
            <w:gridSpan w:val="2"/>
            <w:vMerge/>
          </w:tcPr>
          <w:p/>
        </w:tc>
        <w:tc>
          <w:tcPr>
            <w:tcW w:type="dxa" w:w="2307"/>
          </w:tcPr>
          <w:p>
            <w:pPr>
              <w:pStyle w:val="null3"/>
              <w:jc w:val="left"/>
            </w:pPr>
            <w:r>
              <w:rPr/>
              <w:t>服务方案 (14.0分)</w:t>
            </w:r>
          </w:p>
        </w:tc>
        <w:tc>
          <w:tcPr>
            <w:tcW w:type="dxa" w:w="5076"/>
          </w:tcPr>
          <w:p>
            <w:pPr>
              <w:pStyle w:val="null3"/>
              <w:jc w:val="left"/>
            </w:pPr>
            <w:r>
              <w:rPr/>
              <w:t>1、根据采购需求“附表一”供应商提供的服务方案进行评分，应包含但不限于：①总体服务方案体现对老年人的关爱；②项目实施管理目标及计划制定；③应急情况预案及措施制定；④服务质量管理及监督措施制定等内容。每提供1项内容得1分，最高得4分。 2、在上述基础上，根据采购需求“附表一”供应商提供的服务方案进行评分： （1）总体服务方案深度体现对老年人的关爱，从服务细节到服务理念全方位契合老年人需求，且在关爱措施上有独特亮点；项目实施管理目标明确清晰，计划制定科学合理、细致入微，每个阶段的任务、责任人、时间节点等均有明确且合理的安排；应急情况预案及措施制定完备，涵盖多种可能出现的紧急情况，且应对策略切实可行、高效有序；服务质量管理及监督措施制定完善，从服务标准制定到质量监督流程、考核机制等均有详细规定，确保服务质量。整体方案显著满足且优于采购需求，能够为项目实施提供全面且优质的保障，得10分。 （2）总体服务方案较好地体现对老年人的关爱，在服务过程中能充分考虑老年人的特点和需求；项目实施管理目标较为明确，计划制定合理，对项目实施的各个阶段有较为清晰的规划；应急情况预案及措施制定较为完备，能涵盖常见的紧急情况，并制定相应的应对措施；服务质量管理及监督措施制定较为完善，具备一定的质量控制和监督手段。整体方案满足采购需求，且在某些方面有较好表现，得7分。 （3）服务方案内容基本合理，能满足采购需求基本要求。总体服务方案基本体现对老年人的关爱，在服务安排上能考虑到老年人的部分需求；项目实施管理目标基本明确，计划制定基本可行，能对项目实施起到一定的指导作用；应急情况预案及措施制定基本完整，对一些常规紧急情况有应对思路；服务质量管理及监督措施制定基本具备，有一定的质量控制和监督意识。但整体方案缺乏突出亮点，在满足采购需求的基础上，没有明显的优势，得4分。 （4）服务方案内容存在明显不足，对项目需求理解不够准确，未能充分体现对老年人的关爱，在服务安排上缺乏针对老年人的特殊考虑；项目实施管理目标不够清晰，计划制定笼统模糊，缺乏可操作性和针对性；应急情况预案及措施制定不完善，对可能出现的紧急情况考虑不周，应对措施缺乏有效性；服务质量管理及监督措施制定缺失或不合理，难以有效保障服务质量。整体方案难以完全满足采购需求，得1分。 （5）未提供服务方案，得0分。</w:t>
            </w:r>
          </w:p>
        </w:tc>
      </w:tr>
      <w:tr>
        <w:tc>
          <w:tcPr>
            <w:tcW w:type="dxa" w:w="922"/>
            <w:gridSpan w:val="2"/>
            <w:vMerge/>
          </w:tcPr>
          <w:p/>
        </w:tc>
        <w:tc>
          <w:tcPr>
            <w:tcW w:type="dxa" w:w="2307"/>
          </w:tcPr>
          <w:p>
            <w:pPr>
              <w:pStyle w:val="null3"/>
              <w:jc w:val="left"/>
            </w:pPr>
            <w:r>
              <w:rPr/>
              <w:t>理赔模式 (15.0分)</w:t>
            </w:r>
          </w:p>
        </w:tc>
        <w:tc>
          <w:tcPr>
            <w:tcW w:type="dxa" w:w="5076"/>
          </w:tcPr>
          <w:p>
            <w:pPr>
              <w:pStyle w:val="null3"/>
              <w:jc w:val="left"/>
            </w:pPr>
            <w:r>
              <w:rPr/>
              <w:t>1、根据采购需求“附表一”供应商提供的理赔模式进行评分，应包含但不限于：①理赔流程；②理赔时效及承诺；③投诉处理方案；④理赔服务保障机制等内容，每提供1项内容得1分，最高得4分。 2、根据采购需求“附表一”供应商提供的理赔模式方案内容详实且极具优势，理赔流程清晰流畅，对理赔方式、理赔地点、理赔审核期限、赔付期限等具体措施均有明确且细致的规定，对本项目承保范围界定精准清晰，且在多个方面满足且优于采购需求要求；理赔方案进度安排科学合理、高效有序，具备完善的进度保障措施，确保理赔工作顺利进行；理赔所需材料清单简洁明了，最大程度减轻客户负担，整体方案显著满足且优于采购需求，得5分。理赔模式方案内容较为丰富，理赔流程较为清晰，对理赔方式、理赔地点、理赔审核期限、赔付期限等具体措施有明确规定，对本项目承保范围有较为清晰的界定，满足采购需求要求；理赔方案进度安排合理，具备相应的进度保障措施；理赔所需材料清单相对简约，整体方案能够满足采购需求，得3分。理赔模式方案内容基本合理，理赔流程基本完整，能满足采购需求基本要求，对理赔方式、理赔地点、理赔审核期限、赔付期限等有简单说明，对本项目承保范围有基本认知。理赔方案和进度安排基本可行，但缺乏突出亮点；理赔所需材料清单相对复杂，给客户带来一定不便，整体方案基本能满足采购需求，得2分。 理赔模式方案内容存在明显不足，对本项目理赔的范围存在偏差，未能准确把握项目需求，不完全满足采购需求要求；理赔方案及进度安排笼统模糊，缺乏可操作性和针对性；理赔所需材料清单复杂繁琐，增加了客户理赔的难度和时间成本，难以有效保障理赔工作的顺利开展，整体方案不完全满足采购需求，得1分。 未提供理赔模式方案，得0分。 3、对供应商拟投入理赔途径进行评分：（1）线上理赔途径（本小项最高得3分）：提供2种或以上途径种类的得3分；只能提供1种途径种类的得1分；其他情况不得分。（2）线下理赔途径（本小项最高得3分）：提供2种或以上途径种类的得3分；只能提供1种途径种类的得1分；其他情况不得分。</w:t>
            </w:r>
          </w:p>
        </w:tc>
      </w:tr>
      <w:tr>
        <w:tc>
          <w:tcPr>
            <w:tcW w:type="dxa" w:w="922"/>
            <w:gridSpan w:val="2"/>
            <w:vMerge/>
          </w:tcPr>
          <w:p/>
        </w:tc>
        <w:tc>
          <w:tcPr>
            <w:tcW w:type="dxa" w:w="2307"/>
          </w:tcPr>
          <w:p>
            <w:pPr>
              <w:pStyle w:val="null3"/>
              <w:jc w:val="left"/>
            </w:pPr>
            <w:r>
              <w:rPr/>
              <w:t>网点数量 (10.0分)</w:t>
            </w:r>
          </w:p>
        </w:tc>
        <w:tc>
          <w:tcPr>
            <w:tcW w:type="dxa" w:w="5076"/>
          </w:tcPr>
          <w:p>
            <w:pPr>
              <w:pStyle w:val="null3"/>
              <w:jc w:val="left"/>
            </w:pPr>
            <w:r>
              <w:rPr/>
              <w:t>供应商在项目所在地级市辖区内设立的服务网点数量情况：要求为供应商的直属服务网点，每一个网点得0.4分，最多得10分。 注：1.代理机构或与其他保险公司的共享服务网点不得分； 2.须提供服务网点营业执照原件扫描件及项目履约地保险行业协会开具的网点证明加盖供应商公章，无提供不得分。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风险评级 (20.0分)</w:t>
            </w:r>
          </w:p>
        </w:tc>
        <w:tc>
          <w:tcPr>
            <w:tcW w:type="dxa" w:w="5076"/>
          </w:tcPr>
          <w:p>
            <w:pPr>
              <w:pStyle w:val="null3"/>
              <w:jc w:val="left"/>
            </w:pPr>
            <w:r>
              <w:rPr/>
              <w:t>根据监管部门在中国银行保险监督管理委员会偿二代监管信息系统或国家金融监督管理总局偿付能力监管信息系统中披露的供应商或供应商所属总公司近四个季度（2025年2-4季度及2026年1季度）的风险综合评级进行计算评分： A或以上得5分，BBB得4分，BB得3分，B得2分，B得1分，其他不得分。 本项总得分为四个季度风险综合评级的得分之和，最高得20分。 注：提供供应商或供应商所属总公司在国家金融监督管理总局偿付能力监管信息系统中的信息披露截图加盖供应商公章，未提供不得分。</w:t>
            </w:r>
          </w:p>
        </w:tc>
      </w:tr>
      <w:tr>
        <w:tc>
          <w:tcPr>
            <w:tcW w:type="dxa" w:w="922"/>
            <w:gridSpan w:val="2"/>
            <w:vMerge/>
          </w:tcPr>
          <w:p/>
        </w:tc>
        <w:tc>
          <w:tcPr>
            <w:tcW w:type="dxa" w:w="2307"/>
          </w:tcPr>
          <w:p>
            <w:pPr>
              <w:pStyle w:val="null3"/>
              <w:jc w:val="left"/>
            </w:pPr>
            <w:r>
              <w:rPr/>
              <w:t>同类业绩 (5.0分)</w:t>
            </w:r>
          </w:p>
        </w:tc>
        <w:tc>
          <w:tcPr>
            <w:tcW w:type="dxa" w:w="5076"/>
          </w:tcPr>
          <w:p>
            <w:pPr>
              <w:pStyle w:val="null3"/>
              <w:jc w:val="left"/>
            </w:pPr>
            <w:r>
              <w:rPr/>
              <w:t>供应商自2025年1月1日以来承接过老年人意外伤害保险项目的，每提供一个得5分，最高得5分。 注：提供同类业绩合同或协议书关键页复印件或扫描加盖供应商公章，未提供不得分。</w:t>
            </w:r>
          </w:p>
        </w:tc>
      </w:tr>
      <w:tr>
        <w:tc>
          <w:tcPr>
            <w:tcW w:type="dxa" w:w="922"/>
            <w:gridSpan w:val="2"/>
            <w:vMerge/>
          </w:tcPr>
          <w:p/>
        </w:tc>
        <w:tc>
          <w:tcPr>
            <w:tcW w:type="dxa" w:w="2307"/>
          </w:tcPr>
          <w:p>
            <w:pPr>
              <w:pStyle w:val="null3"/>
              <w:jc w:val="left"/>
            </w:pPr>
            <w:r>
              <w:rPr/>
              <w:t>综合偿付能力 (10.0分)</w:t>
            </w:r>
          </w:p>
        </w:tc>
        <w:tc>
          <w:tcPr>
            <w:tcW w:type="dxa" w:w="5076"/>
          </w:tcPr>
          <w:p>
            <w:pPr>
              <w:pStyle w:val="null3"/>
              <w:jc w:val="left"/>
            </w:pPr>
            <w:r>
              <w:rPr/>
              <w:t>供应商或供应商所属总公司近四个季度（2025年2-4季度及2026年1季度）综合偿付能力充足率平均值（四舍五入保留小数点后两位数）指标： 1、综合偿付能力充足率平均值＞200%的，得10分； 2、180%＜综合偿付能力充足率平均值≤200%的，得8分； 3、160%＜综合偿付能力充足率平均值≤180%的，得6分； 4、140%＜综合偿付能力充足率平均值≤160%的，得4分； 5、120%＜综合偿付能力充足率平均值≤140%的，得2分； 注：提供供应商或供应商所属总公司在中国保险行业协会网站偿付能力信息披露网页截图及附件加盖供应商公章，未提供不得分。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jc w:val="center"/>
      </w:pPr>
      <w:r>
        <w:rPr>
          <w:sz w:val="42"/>
          <w:b/>
        </w:rPr>
        <w:t>广东省政府采购</w:t>
      </w:r>
    </w:p>
    <w:p>
      <w:pPr>
        <w:pStyle w:val="null3"/>
        <w:spacing w:before="150" w:after="150"/>
        <w:jc w:val="both"/>
      </w:pPr>
      <w:r>
        <w:rPr/>
        <w:t xml:space="preserve"> </w:t>
      </w:r>
    </w:p>
    <w:p>
      <w:pPr>
        <w:pStyle w:val="null3"/>
        <w:jc w:val="center"/>
      </w:pPr>
      <w:r>
        <w:rPr>
          <w:sz w:val="42"/>
          <w:b/>
        </w:rPr>
        <w:t>合　同　书</w:t>
      </w:r>
    </w:p>
    <w:p>
      <w:pPr>
        <w:pStyle w:val="null3"/>
        <w:jc w:val="center"/>
      </w:pPr>
      <w:r>
        <w:br/>
      </w:r>
      <w:r>
        <w:br/>
      </w:r>
      <w:r>
        <w:br/>
      </w:r>
      <w:r>
        <w:br/>
      </w:r>
      <w:r>
        <w:br/>
      </w:r>
    </w:p>
    <w:p>
      <w:pPr>
        <w:pStyle w:val="null3"/>
        <w:jc w:val="center"/>
      </w:pPr>
      <w:r>
        <w:br/>
      </w:r>
      <w:r>
        <w:br/>
      </w:r>
      <w:r>
        <w:br/>
      </w:r>
      <w:r>
        <w:rPr/>
        <w:t xml:space="preserve">     </w:t>
      </w:r>
    </w:p>
    <w:p>
      <w:pPr>
        <w:pStyle w:val="null3"/>
        <w:ind w:left="1425"/>
        <w:jc w:val="left"/>
      </w:pPr>
      <w:r>
        <w:rPr>
          <w:sz w:val="28"/>
        </w:rPr>
        <w:t>采购计划编号：</w:t>
      </w:r>
      <w:r>
        <w:rPr>
          <w:u w:val="single"/>
        </w:rPr>
        <w:t xml:space="preserve">                       </w:t>
      </w:r>
    </w:p>
    <w:p>
      <w:pPr>
        <w:pStyle w:val="null3"/>
        <w:ind w:left="1425"/>
        <w:jc w:val="left"/>
      </w:pPr>
      <w:r>
        <w:rPr>
          <w:sz w:val="28"/>
        </w:rPr>
        <w:t>合同编号：</w:t>
      </w:r>
      <w:r>
        <w:rPr>
          <w:u w:val="single"/>
        </w:rPr>
        <w:t xml:space="preserve">                       </w:t>
      </w:r>
    </w:p>
    <w:p>
      <w:pPr>
        <w:pStyle w:val="null3"/>
        <w:ind w:left="1425"/>
        <w:jc w:val="left"/>
      </w:pPr>
      <w:r>
        <w:rPr>
          <w:sz w:val="28"/>
        </w:rPr>
        <w:t>项目名称：</w:t>
      </w:r>
      <w:r>
        <w:rPr>
          <w:u w:val="single"/>
        </w:rPr>
        <w:t xml:space="preserve">                       </w:t>
      </w:r>
    </w:p>
    <w:p>
      <w:pPr>
        <w:pStyle w:val="null3"/>
      </w:pPr>
      <w:r>
        <w:rPr/>
        <w:t xml:space="preserve"> </w:t>
      </w:r>
    </w:p>
    <w:p>
      <w:pPr>
        <w:pStyle w:val="null3"/>
        <w:jc w:val="center"/>
      </w:pPr>
      <w:r>
        <w:rPr>
          <w:sz w:val="24"/>
          <w:b/>
        </w:rPr>
        <w:t>注：本合同样本仅供参考，合同具体细则以采购双方协议为准。</w:t>
      </w:r>
    </w:p>
    <w:p>
      <w:pPr>
        <w:pStyle w:val="null3"/>
      </w:pPr>
      <w:r>
        <w:rPr/>
        <w:t xml:space="preserve"> </w:t>
      </w:r>
    </w:p>
    <w:p>
      <w:pPr>
        <w:pStyle w:val="null3"/>
        <w:jc w:val="left"/>
      </w:pPr>
      <w:r>
        <w:rPr/>
        <w:t xml:space="preserve"> </w:t>
      </w:r>
    </w:p>
    <w:p>
      <w:pPr>
        <w:pStyle w:val="null3"/>
        <w:jc w:val="left"/>
      </w:pPr>
      <w:r>
        <w:rPr/>
        <w:t xml:space="preserve"> </w:t>
      </w:r>
    </w:p>
    <w:p>
      <w:pPr>
        <w:pStyle w:val="null3"/>
        <w:ind w:firstLine="480"/>
        <w:jc w:val="both"/>
      </w:pPr>
      <w:r>
        <w:rPr>
          <w:sz w:val="24"/>
        </w:rPr>
        <w:t>委托方（甲方）：</w:t>
      </w:r>
      <w:r>
        <w:rPr>
          <w:u w:val="single"/>
        </w:rPr>
        <w:t xml:space="preserve">                     </w:t>
      </w:r>
    </w:p>
    <w:p>
      <w:pPr>
        <w:pStyle w:val="null3"/>
        <w:ind w:firstLine="480"/>
        <w:jc w:val="both"/>
      </w:pPr>
      <w:r>
        <w:rPr>
          <w:sz w:val="24"/>
        </w:rPr>
        <w:t>受委托方（乙方）：</w:t>
      </w:r>
      <w:r>
        <w:rPr>
          <w:u w:val="single"/>
        </w:rPr>
        <w:t xml:space="preserve">                   </w:t>
      </w:r>
    </w:p>
    <w:p>
      <w:pPr>
        <w:pStyle w:val="null3"/>
        <w:ind w:firstLine="480"/>
        <w:jc w:val="both"/>
      </w:pPr>
      <w:r>
        <w:rPr>
          <w:sz w:val="24"/>
        </w:rPr>
        <w:t>根据《中华人民共和国民法典》、《中华人民共和国政府采购法》及</w:t>
      </w:r>
      <w:r>
        <w:rPr>
          <w:sz w:val="24"/>
        </w:rPr>
        <w:t>“项目名称：</w:t>
      </w:r>
      <w:r>
        <w:rPr>
          <w:u w:val="single"/>
        </w:rPr>
        <w:t xml:space="preserve">           </w:t>
      </w:r>
      <w:r>
        <w:rPr>
          <w:sz w:val="24"/>
        </w:rPr>
        <w:t>”（采购计划编号：</w:t>
      </w:r>
      <w:r>
        <w:rPr>
          <w:u w:val="single"/>
        </w:rPr>
        <w:t xml:space="preserve">             </w:t>
      </w:r>
      <w:r>
        <w:rPr>
          <w:sz w:val="24"/>
        </w:rPr>
        <w:t>）的磋商文件和成交结果，经甲乙双方协商一致，签订本合同。双方共同遵守如下条款：</w:t>
      </w:r>
    </w:p>
    <w:p>
      <w:pPr>
        <w:pStyle w:val="null3"/>
        <w:ind w:firstLine="482"/>
        <w:jc w:val="both"/>
      </w:pPr>
      <w:r>
        <w:rPr>
          <w:sz w:val="24"/>
          <w:b/>
        </w:rPr>
        <w:t>第一条</w:t>
      </w:r>
      <w:r>
        <w:rPr>
          <w:b/>
        </w:rPr>
        <w:t xml:space="preserve"> </w:t>
      </w:r>
      <w:r>
        <w:rPr>
          <w:sz w:val="24"/>
          <w:b/>
        </w:rPr>
        <w:t>合同金额</w:t>
      </w:r>
    </w:p>
    <w:p>
      <w:pPr>
        <w:pStyle w:val="null3"/>
        <w:ind w:firstLine="480"/>
        <w:jc w:val="both"/>
      </w:pPr>
      <w:r>
        <w:rPr>
          <w:sz w:val="24"/>
        </w:rPr>
        <w:t>1.</w:t>
      </w:r>
      <w:r>
        <w:rPr>
          <w:sz w:val="24"/>
        </w:rPr>
        <w:t>保险费合计</w:t>
      </w:r>
      <w:r>
        <w:rPr>
          <w:sz w:val="24"/>
        </w:rPr>
        <w:t>¥________________</w:t>
      </w:r>
      <w:r>
        <w:rPr>
          <w:sz w:val="24"/>
        </w:rPr>
        <w:t>（含税）（大写：人民币</w:t>
      </w:r>
      <w:r>
        <w:rPr>
          <w:sz w:val="24"/>
        </w:rPr>
        <w:t>__________________</w:t>
      </w:r>
      <w:r>
        <w:rPr>
          <w:sz w:val="24"/>
        </w:rPr>
        <w:t>）。</w:t>
      </w:r>
    </w:p>
    <w:p>
      <w:pPr>
        <w:pStyle w:val="null3"/>
        <w:ind w:firstLine="480"/>
        <w:jc w:val="both"/>
      </w:pPr>
      <w:r>
        <w:rPr>
          <w:sz w:val="24"/>
        </w:rPr>
        <w:t>2.</w:t>
      </w:r>
      <w:r>
        <w:rPr>
          <w:sz w:val="24"/>
        </w:rPr>
        <w:t>以上保险费已包括但不限于所有保险费、人工费、利润、税费、全额含税发票、以及不可预见费等完成本项目内容所需的一切费用。</w:t>
      </w:r>
    </w:p>
    <w:p>
      <w:pPr>
        <w:pStyle w:val="null3"/>
        <w:ind w:firstLine="480"/>
        <w:jc w:val="both"/>
      </w:pPr>
      <w:r>
        <w:rPr>
          <w:sz w:val="24"/>
        </w:rPr>
        <w:t>3.</w:t>
      </w:r>
      <w:r>
        <w:rPr>
          <w:sz w:val="24"/>
        </w:rPr>
        <w:t>合同总金额不因老年人数量的增减而发生改变，即合同总金额为全区</w:t>
      </w:r>
      <w:r>
        <w:rPr>
          <w:sz w:val="24"/>
        </w:rPr>
        <w:t>60</w:t>
      </w:r>
      <w:r>
        <w:rPr>
          <w:sz w:val="24"/>
        </w:rPr>
        <w:t>周岁及以上老年人意外伤害保险保费。</w:t>
      </w:r>
    </w:p>
    <w:p>
      <w:pPr>
        <w:pStyle w:val="null3"/>
        <w:ind w:firstLine="482"/>
        <w:jc w:val="both"/>
      </w:pPr>
      <w:r>
        <w:rPr>
          <w:sz w:val="24"/>
          <w:b/>
        </w:rPr>
        <w:t>第二条</w:t>
      </w:r>
      <w:r>
        <w:rPr>
          <w:b/>
        </w:rPr>
        <w:t xml:space="preserve"> </w:t>
      </w:r>
      <w:r>
        <w:rPr>
          <w:sz w:val="24"/>
          <w:b/>
        </w:rPr>
        <w:t>保险责任范围</w:t>
      </w:r>
    </w:p>
    <w:p>
      <w:pPr>
        <w:pStyle w:val="null3"/>
        <w:ind w:firstLine="480"/>
        <w:jc w:val="both"/>
      </w:pPr>
      <w:r>
        <w:rPr>
          <w:sz w:val="24"/>
        </w:rPr>
        <w:t>（一）保障方案（原则上包括且不限于以下内容）</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2360"/>
        <w:gridCol w:w="1770"/>
        <w:gridCol w:w="2648"/>
        <w:gridCol w:w="1528"/>
      </w:tblGrid>
      <w:tr>
        <w:tc>
          <w:tcPr>
            <w:tcW w:type="dxa" w:w="2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具体保险内容</w:t>
            </w:r>
          </w:p>
        </w:tc>
        <w:tc>
          <w:tcPr>
            <w:tcW w:type="dxa" w:w="17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最高可获得的保障金额</w:t>
            </w:r>
          </w:p>
        </w:tc>
        <w:tc>
          <w:tcPr>
            <w:tcW w:type="dxa" w:w="26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备注</w:t>
            </w:r>
          </w:p>
        </w:tc>
        <w:tc>
          <w:tcPr>
            <w:tcW w:type="dxa" w:w="15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保险费</w:t>
            </w:r>
          </w:p>
        </w:tc>
      </w:tr>
      <w:tr>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因意外伤害导致身故、伤残</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3000</w:t>
            </w:r>
            <w:r>
              <w:rPr>
                <w:sz w:val="24"/>
              </w:rPr>
              <w:t>元</w:t>
            </w:r>
          </w:p>
        </w:tc>
        <w:tc>
          <w:tcPr>
            <w:tcW w:type="dxa" w:w="2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意外身故赔付</w:t>
            </w:r>
            <w:r>
              <w:rPr>
                <w:sz w:val="24"/>
              </w:rPr>
              <w:t>3000</w:t>
            </w:r>
            <w:r>
              <w:rPr>
                <w:sz w:val="24"/>
              </w:rPr>
              <w:t>元，伤残按比例给付</w:t>
            </w:r>
          </w:p>
        </w:tc>
        <w:tc>
          <w:tcPr>
            <w:tcW w:type="dxa" w:w="15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r>
              <w:rPr>
                <w:sz w:val="24"/>
              </w:rPr>
              <w:t>元</w:t>
            </w:r>
            <w:r>
              <w:rPr>
                <w:sz w:val="24"/>
              </w:rPr>
              <w:t>/</w:t>
            </w:r>
            <w:r>
              <w:rPr>
                <w:sz w:val="24"/>
              </w:rPr>
              <w:t>人</w:t>
            </w:r>
            <w:r>
              <w:rPr>
                <w:sz w:val="24"/>
              </w:rPr>
              <w:t>/</w:t>
            </w:r>
            <w:r>
              <w:rPr>
                <w:sz w:val="24"/>
              </w:rPr>
              <w:t>年</w:t>
            </w:r>
          </w:p>
        </w:tc>
      </w:tr>
      <w:tr>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因意外伤害导致的住院津贴</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r>
              <w:rPr>
                <w:sz w:val="24"/>
              </w:rPr>
              <w:t>元</w:t>
            </w:r>
            <w:r>
              <w:rPr>
                <w:sz w:val="24"/>
              </w:rPr>
              <w:t>/</w:t>
            </w:r>
            <w:r>
              <w:rPr>
                <w:sz w:val="24"/>
              </w:rPr>
              <w:t>天</w:t>
            </w:r>
          </w:p>
          <w:p>
            <w:pPr>
              <w:pStyle w:val="null3"/>
              <w:jc w:val="center"/>
            </w:pPr>
            <w:r>
              <w:rPr>
                <w:sz w:val="24"/>
              </w:rPr>
              <w:t>全年限</w:t>
            </w:r>
            <w:r>
              <w:rPr>
                <w:sz w:val="24"/>
              </w:rPr>
              <w:t>180</w:t>
            </w:r>
            <w:r>
              <w:rPr>
                <w:sz w:val="24"/>
              </w:rPr>
              <w:t>天</w:t>
            </w:r>
          </w:p>
        </w:tc>
        <w:tc>
          <w:tcPr>
            <w:tcW w:type="dxa" w:w="2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意外住院补贴每日</w:t>
            </w:r>
            <w:r>
              <w:rPr>
                <w:sz w:val="24"/>
              </w:rPr>
              <w:t>30</w:t>
            </w:r>
            <w:r>
              <w:rPr>
                <w:sz w:val="24"/>
              </w:rPr>
              <w:t>元，每次住院给付日数以</w:t>
            </w:r>
            <w:r>
              <w:rPr>
                <w:sz w:val="24"/>
              </w:rPr>
              <w:t>90</w:t>
            </w:r>
            <w:r>
              <w:rPr>
                <w:sz w:val="24"/>
              </w:rPr>
              <w:t>天为限，全年限</w:t>
            </w:r>
            <w:r>
              <w:rPr>
                <w:sz w:val="24"/>
              </w:rPr>
              <w:t>180</w:t>
            </w:r>
            <w:r>
              <w:rPr>
                <w:sz w:val="24"/>
              </w:rPr>
              <w:t>天，累计最高赔付</w:t>
            </w:r>
            <w:r>
              <w:rPr>
                <w:sz w:val="24"/>
              </w:rPr>
              <w:t>5400</w:t>
            </w:r>
            <w:r>
              <w:rPr>
                <w:sz w:val="24"/>
              </w:rPr>
              <w:t>元。</w:t>
            </w:r>
          </w:p>
        </w:tc>
        <w:tc>
          <w:tcPr>
            <w:tcW w:type="dxa" w:w="1528"/>
            <w:vMerge/>
            <w:tcBorders>
              <w:top w:val="none" w:color="000000" w:sz="4"/>
              <w:left w:val="none" w:color="000000" w:sz="4"/>
              <w:bottom w:val="single" w:color="000000" w:sz="4"/>
              <w:right w:val="single" w:color="000000" w:sz="4"/>
            </w:tcBorders>
          </w:tcPr>
          <w:p/>
        </w:tc>
      </w:tr>
      <w:tr>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乘坐营运类机动车意外身故</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30000</w:t>
            </w:r>
            <w:r>
              <w:rPr>
                <w:sz w:val="24"/>
              </w:rPr>
              <w:t>元</w:t>
            </w:r>
          </w:p>
        </w:tc>
        <w:tc>
          <w:tcPr>
            <w:tcW w:type="dxa" w:w="2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赔付</w:t>
            </w:r>
            <w:r>
              <w:rPr>
                <w:sz w:val="24"/>
              </w:rPr>
              <w:t>30000</w:t>
            </w:r>
            <w:r>
              <w:rPr>
                <w:sz w:val="24"/>
              </w:rPr>
              <w:t>元</w:t>
            </w:r>
          </w:p>
        </w:tc>
        <w:tc>
          <w:tcPr>
            <w:tcW w:type="dxa" w:w="1528"/>
            <w:vMerge/>
            <w:tcBorders>
              <w:top w:val="none" w:color="000000" w:sz="4"/>
              <w:left w:val="none" w:color="000000" w:sz="4"/>
              <w:bottom w:val="single" w:color="000000" w:sz="4"/>
              <w:right w:val="single" w:color="000000" w:sz="4"/>
            </w:tcBorders>
          </w:tcPr>
          <w:p/>
        </w:tc>
      </w:tr>
      <w:tr>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乘坐营运类轨道交通工具意外身故</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30000</w:t>
            </w:r>
            <w:r>
              <w:rPr>
                <w:sz w:val="24"/>
              </w:rPr>
              <w:t>元</w:t>
            </w:r>
          </w:p>
        </w:tc>
        <w:tc>
          <w:tcPr>
            <w:tcW w:type="dxa" w:w="2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赔付</w:t>
            </w:r>
            <w:r>
              <w:rPr>
                <w:sz w:val="24"/>
              </w:rPr>
              <w:t>30000</w:t>
            </w:r>
            <w:r>
              <w:rPr>
                <w:sz w:val="24"/>
              </w:rPr>
              <w:t>元</w:t>
            </w:r>
          </w:p>
        </w:tc>
        <w:tc>
          <w:tcPr>
            <w:tcW w:type="dxa" w:w="1528"/>
            <w:vMerge/>
            <w:tcBorders>
              <w:top w:val="none" w:color="000000" w:sz="4"/>
              <w:left w:val="none" w:color="000000" w:sz="4"/>
              <w:bottom w:val="single" w:color="000000" w:sz="4"/>
              <w:right w:val="single" w:color="000000" w:sz="4"/>
            </w:tcBorders>
          </w:tcPr>
          <w:p/>
        </w:tc>
      </w:tr>
      <w:tr>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乘坐营运类轮船意外身故</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50000</w:t>
            </w:r>
            <w:r>
              <w:rPr>
                <w:sz w:val="24"/>
              </w:rPr>
              <w:t>元</w:t>
            </w:r>
          </w:p>
        </w:tc>
        <w:tc>
          <w:tcPr>
            <w:tcW w:type="dxa" w:w="2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赔付</w:t>
            </w:r>
            <w:r>
              <w:rPr>
                <w:sz w:val="24"/>
              </w:rPr>
              <w:t>50000</w:t>
            </w:r>
            <w:r>
              <w:rPr>
                <w:sz w:val="24"/>
              </w:rPr>
              <w:t>元</w:t>
            </w:r>
          </w:p>
        </w:tc>
        <w:tc>
          <w:tcPr>
            <w:tcW w:type="dxa" w:w="1528"/>
            <w:vMerge/>
            <w:tcBorders>
              <w:top w:val="none" w:color="000000" w:sz="4"/>
              <w:left w:val="none" w:color="000000" w:sz="4"/>
              <w:bottom w:val="single" w:color="000000" w:sz="4"/>
              <w:right w:val="single" w:color="000000" w:sz="4"/>
            </w:tcBorders>
          </w:tcPr>
          <w:p/>
        </w:tc>
      </w:tr>
      <w:tr>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乘坐营运类航空交通工具意外身故</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100000</w:t>
            </w:r>
            <w:r>
              <w:rPr>
                <w:sz w:val="24"/>
              </w:rPr>
              <w:t>元</w:t>
            </w:r>
          </w:p>
        </w:tc>
        <w:tc>
          <w:tcPr>
            <w:tcW w:type="dxa" w:w="2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赔付</w:t>
            </w:r>
            <w:r>
              <w:rPr>
                <w:sz w:val="24"/>
              </w:rPr>
              <w:t>100000</w:t>
            </w:r>
            <w:r>
              <w:rPr>
                <w:sz w:val="24"/>
              </w:rPr>
              <w:t>元</w:t>
            </w:r>
          </w:p>
        </w:tc>
        <w:tc>
          <w:tcPr>
            <w:tcW w:type="dxa" w:w="1528"/>
            <w:vMerge/>
            <w:tcBorders>
              <w:top w:val="none" w:color="000000" w:sz="4"/>
              <w:left w:val="none" w:color="000000" w:sz="4"/>
              <w:bottom w:val="single" w:color="000000" w:sz="4"/>
              <w:right w:val="single" w:color="000000" w:sz="4"/>
            </w:tcBorders>
          </w:tcPr>
          <w:p/>
        </w:tc>
      </w:tr>
    </w:tbl>
    <w:p>
      <w:pPr>
        <w:pStyle w:val="null3"/>
        <w:ind w:firstLine="200"/>
        <w:jc w:val="both"/>
      </w:pPr>
      <w:r>
        <w:rPr>
          <w:sz w:val="24"/>
        </w:rPr>
        <w:t>（二）责任范围</w:t>
      </w:r>
    </w:p>
    <w:p>
      <w:pPr>
        <w:pStyle w:val="null3"/>
        <w:ind w:firstLine="480"/>
        <w:jc w:val="both"/>
      </w:pPr>
      <w:r>
        <w:rPr>
          <w:sz w:val="24"/>
        </w:rPr>
        <w:t>汕头市澄海区户籍</w:t>
      </w:r>
      <w:r>
        <w:rPr>
          <w:sz w:val="24"/>
        </w:rPr>
        <w:t>60</w:t>
      </w:r>
      <w:r>
        <w:rPr>
          <w:sz w:val="24"/>
        </w:rPr>
        <w:t>周岁及以上老年人在生产、生活的各种场所，包括在居家生活、乘坐公共交通工具、参加公共场所活动、入住养老服务机构、外出旅游时发生的各种意外伤害事故等，均应纳入意外伤害保险责任范围，即主要包括意外伤害身故、意外伤害伤残、意外住院津贴和乘坐营运类交通工具意外身故。汕头市澄海区户籍</w:t>
      </w:r>
      <w:r>
        <w:rPr>
          <w:sz w:val="24"/>
        </w:rPr>
        <w:t>60</w:t>
      </w:r>
      <w:r>
        <w:rPr>
          <w:sz w:val="24"/>
        </w:rPr>
        <w:t>周岁及以上老年人包括自保险单载明的保险责任起始之日起一年内年满</w:t>
      </w:r>
      <w:r>
        <w:rPr>
          <w:sz w:val="24"/>
        </w:rPr>
        <w:t>60</w:t>
      </w:r>
      <w:r>
        <w:rPr>
          <w:sz w:val="24"/>
        </w:rPr>
        <w:t>周岁的老年人，即只要在保险期限内年满</w:t>
      </w:r>
      <w:r>
        <w:rPr>
          <w:sz w:val="24"/>
        </w:rPr>
        <w:t>60</w:t>
      </w:r>
      <w:r>
        <w:rPr>
          <w:sz w:val="24"/>
        </w:rPr>
        <w:t>周岁的汕头市澄海区户籍老年人就属于被保险人，乙方应纳入其保险责任范围内。</w:t>
      </w:r>
    </w:p>
    <w:p>
      <w:pPr>
        <w:pStyle w:val="null3"/>
        <w:ind w:firstLine="480"/>
        <w:jc w:val="both"/>
      </w:pPr>
      <w:r>
        <w:rPr>
          <w:sz w:val="24"/>
        </w:rPr>
        <w:t>（三）责任释义</w:t>
      </w:r>
    </w:p>
    <w:p>
      <w:pPr>
        <w:pStyle w:val="null3"/>
        <w:ind w:firstLine="480"/>
        <w:jc w:val="both"/>
      </w:pPr>
      <w:r>
        <w:rPr>
          <w:sz w:val="24"/>
        </w:rPr>
        <w:t>具体保障责任如下（原则上包括且不限于以下内容）：</w:t>
      </w:r>
    </w:p>
    <w:p>
      <w:pPr>
        <w:pStyle w:val="null3"/>
        <w:ind w:firstLine="482"/>
        <w:jc w:val="both"/>
      </w:pPr>
      <w:r>
        <w:rPr>
          <w:sz w:val="24"/>
        </w:rPr>
        <w:t>1.</w:t>
      </w:r>
      <w:r>
        <w:rPr>
          <w:sz w:val="24"/>
        </w:rPr>
        <w:t>意外伤害身故。意外伤害是指遭受外来的、突发的、非本意的、非疾病的客观事件直接致使身体受到的伤害。主要包括：乘坐公交车或其它交通工具，户内外及公共场所发生的交通事故、磕碰、摔倒、高空坠物等意外人身伤害。被保险人遭受意外伤害，并自该意外伤害发生之日起</w:t>
      </w:r>
      <w:r>
        <w:rPr>
          <w:sz w:val="24"/>
        </w:rPr>
        <w:t>180</w:t>
      </w:r>
      <w:r>
        <w:rPr>
          <w:sz w:val="24"/>
        </w:rPr>
        <w:t>天内因该意外伤害导致身故的，保险公司按协议约定的保险金额扣除已给付伤残保险金后的余额给付身故保险金。</w:t>
      </w:r>
    </w:p>
    <w:p>
      <w:pPr>
        <w:pStyle w:val="null3"/>
        <w:ind w:firstLine="482"/>
        <w:jc w:val="both"/>
      </w:pPr>
      <w:r>
        <w:rPr>
          <w:sz w:val="24"/>
        </w:rPr>
        <w:t>2.</w:t>
      </w:r>
      <w:r>
        <w:rPr>
          <w:sz w:val="24"/>
        </w:rPr>
        <w:t>意外伤害伤残。被保险人遭受意外伤害，并自该意外伤害发生之日起</w:t>
      </w:r>
      <w:r>
        <w:rPr>
          <w:sz w:val="24"/>
        </w:rPr>
        <w:t>180</w:t>
      </w:r>
      <w:r>
        <w:rPr>
          <w:sz w:val="24"/>
        </w:rPr>
        <w:t>天内因该意外伤害导致身体伤残的，保险公司根据《人身保险伤残评定标准及代码》（</w:t>
      </w:r>
      <w:r>
        <w:rPr>
          <w:sz w:val="24"/>
        </w:rPr>
        <w:t>JR/T 0083</w:t>
      </w:r>
      <w:r>
        <w:rPr>
          <w:sz w:val="24"/>
        </w:rPr>
        <w:t>—</w:t>
      </w:r>
      <w:r>
        <w:rPr>
          <w:sz w:val="24"/>
        </w:rPr>
        <w:t>2013</w:t>
      </w:r>
      <w:r>
        <w:rPr>
          <w:sz w:val="24"/>
        </w:rPr>
        <w:t>）规定，被保险人的意外伤害保险金额乘以该处伤残的伤残等级所对应的保险金给付比例给付伤残保险金。</w:t>
      </w:r>
    </w:p>
    <w:p>
      <w:pPr>
        <w:pStyle w:val="null3"/>
        <w:ind w:firstLine="482"/>
        <w:jc w:val="both"/>
      </w:pPr>
      <w:r>
        <w:rPr>
          <w:sz w:val="24"/>
        </w:rPr>
        <w:t>3.</w:t>
      </w:r>
      <w:r>
        <w:rPr>
          <w:sz w:val="24"/>
        </w:rPr>
        <w:t>意外住院津贴。被保险人遭受意外伤害，并因该意外伤害在二级以上（含二级）医院或保险公司认可的其他医疗机构住院治疗，保险公司按合同约定的住院日定额给付金额乘以实际住院日数给付保险金，但对每次住院的给付日数以</w:t>
      </w:r>
      <w:r>
        <w:rPr>
          <w:sz w:val="24"/>
        </w:rPr>
        <w:t>90</w:t>
      </w:r>
      <w:r>
        <w:rPr>
          <w:sz w:val="24"/>
        </w:rPr>
        <w:t>天为限。被保险人多次住院的，累计给付日数以</w:t>
      </w:r>
      <w:r>
        <w:rPr>
          <w:sz w:val="24"/>
        </w:rPr>
        <w:t>180</w:t>
      </w:r>
      <w:r>
        <w:rPr>
          <w:sz w:val="24"/>
        </w:rPr>
        <w:t>天为限。</w:t>
      </w:r>
    </w:p>
    <w:p>
      <w:pPr>
        <w:pStyle w:val="null3"/>
        <w:ind w:firstLine="482"/>
        <w:jc w:val="both"/>
      </w:pPr>
      <w:r>
        <w:rPr>
          <w:sz w:val="24"/>
        </w:rPr>
        <w:t>4.</w:t>
      </w:r>
      <w:r>
        <w:rPr>
          <w:sz w:val="24"/>
        </w:rPr>
        <w:t>乘坐营运类交通工具。被保险人乘坐协议约定的营运类交通工具时遭受意外伤害身故，保险公司按协议方案给付保险金。</w:t>
      </w:r>
    </w:p>
    <w:p>
      <w:pPr>
        <w:pStyle w:val="null3"/>
        <w:ind w:firstLine="482"/>
        <w:jc w:val="both"/>
      </w:pPr>
      <w:r>
        <w:rPr>
          <w:sz w:val="24"/>
          <w:b/>
        </w:rPr>
        <w:t>第三条</w:t>
      </w:r>
      <w:r>
        <w:rPr>
          <w:b/>
        </w:rPr>
        <w:t xml:space="preserve"> </w:t>
      </w:r>
      <w:r>
        <w:rPr>
          <w:sz w:val="24"/>
          <w:b/>
        </w:rPr>
        <w:t>其他要求</w:t>
      </w:r>
    </w:p>
    <w:p>
      <w:pPr>
        <w:pStyle w:val="null3"/>
        <w:ind w:firstLine="482"/>
        <w:jc w:val="both"/>
      </w:pPr>
      <w:r>
        <w:rPr>
          <w:sz w:val="24"/>
        </w:rPr>
        <w:t>1</w:t>
      </w:r>
      <w:r>
        <w:rPr>
          <w:sz w:val="24"/>
        </w:rPr>
        <w:t>、乙方须对本项目的采购标的进行整体响应，任何只对本项目采购标的其中一部分内容、数量进行的投标都被视为无效响应。</w:t>
      </w:r>
    </w:p>
    <w:p>
      <w:pPr>
        <w:pStyle w:val="null3"/>
        <w:ind w:firstLine="482"/>
        <w:jc w:val="both"/>
      </w:pPr>
      <w:r>
        <w:rPr>
          <w:sz w:val="24"/>
        </w:rPr>
        <w:t>2</w:t>
      </w:r>
      <w:r>
        <w:rPr>
          <w:sz w:val="24"/>
        </w:rPr>
        <w:t>、乙方理赔响应时间一般不超过</w:t>
      </w:r>
      <w:r>
        <w:rPr>
          <w:sz w:val="24"/>
        </w:rPr>
        <w:t>15</w:t>
      </w:r>
      <w:r>
        <w:rPr>
          <w:sz w:val="24"/>
        </w:rPr>
        <w:t>个自然日，做到及时、足额赔付，切实维护老年人的合法权益。</w:t>
      </w:r>
    </w:p>
    <w:p>
      <w:pPr>
        <w:pStyle w:val="null3"/>
        <w:ind w:firstLine="482"/>
        <w:jc w:val="both"/>
      </w:pPr>
      <w:r>
        <w:rPr>
          <w:sz w:val="24"/>
        </w:rPr>
        <w:t>3</w:t>
      </w:r>
      <w:r>
        <w:rPr>
          <w:sz w:val="24"/>
        </w:rPr>
        <w:t>、乙方应按月报送参保数据、理赔案例（含成功与未成功案例）及资金使用情况等。甲方</w:t>
      </w:r>
      <w:r>
        <w:rPr>
          <w:sz w:val="24"/>
        </w:rPr>
        <w:t>将适时联合金融监管等部门</w:t>
      </w:r>
      <w:r>
        <w:rPr>
          <w:sz w:val="24"/>
        </w:rPr>
        <w:t>随机抽取已赔付案例，核实申请材料真实性、赔付标准合规性及到账时效；对赔付不成功的案例，应提供情况说明拒赔原因。</w:t>
      </w:r>
    </w:p>
    <w:p>
      <w:pPr>
        <w:pStyle w:val="null3"/>
        <w:ind w:firstLine="482"/>
        <w:jc w:val="both"/>
      </w:pPr>
      <w:r>
        <w:rPr>
          <w:sz w:val="24"/>
        </w:rPr>
        <w:t>4</w:t>
      </w:r>
      <w:r>
        <w:rPr>
          <w:sz w:val="24"/>
        </w:rPr>
        <w:t>、乙方负责保险业务的办理和解释工作，向参保对象提供意外伤害保险简介，列明完整保险内容，制作宣传物料（包括横幅、展架、海报、宣传彩页等），不定期开展各种形式宣传活动。若乙方的宣传力度不到位，甲方有权要求乙方继续加大力度进行宣传，直至宣传到位为止，由此产生的费用由乙方负责。</w:t>
      </w:r>
    </w:p>
    <w:p>
      <w:pPr>
        <w:pStyle w:val="null3"/>
        <w:ind w:firstLine="482"/>
        <w:jc w:val="both"/>
      </w:pPr>
      <w:r>
        <w:rPr>
          <w:sz w:val="24"/>
        </w:rPr>
        <w:t>5</w:t>
      </w:r>
      <w:r>
        <w:rPr>
          <w:sz w:val="24"/>
        </w:rPr>
        <w:t>、在服务期限内，本项目的老年人意外伤害保险相关事项如遇国家、省市、区相关政策调整，自相关新政策实施之日起按照最新的相关政策执行。</w:t>
      </w:r>
    </w:p>
    <w:p>
      <w:pPr>
        <w:pStyle w:val="null3"/>
        <w:ind w:firstLine="482"/>
        <w:jc w:val="both"/>
      </w:pPr>
      <w:r>
        <w:rPr>
          <w:sz w:val="24"/>
          <w:b/>
        </w:rPr>
        <w:t>第四条</w:t>
      </w:r>
      <w:r>
        <w:rPr>
          <w:b/>
        </w:rPr>
        <w:t xml:space="preserve"> </w:t>
      </w:r>
      <w:r>
        <w:rPr>
          <w:sz w:val="24"/>
          <w:b/>
        </w:rPr>
        <w:t>服务期</w:t>
      </w:r>
    </w:p>
    <w:p>
      <w:pPr>
        <w:pStyle w:val="null3"/>
        <w:ind w:firstLine="480"/>
        <w:jc w:val="both"/>
      </w:pPr>
      <w:r>
        <w:rPr>
          <w:sz w:val="24"/>
        </w:rPr>
        <w:t>服务期：自保险单载明的保险责任起始之日起一</w:t>
      </w:r>
      <w:r>
        <w:rPr>
          <w:sz w:val="24"/>
        </w:rPr>
        <w:t>年（</w:t>
      </w:r>
      <w:r>
        <w:rPr>
          <w:sz w:val="24"/>
        </w:rPr>
        <w:t>保险期自</w:t>
      </w:r>
      <w:r>
        <w:rPr>
          <w:sz w:val="24"/>
        </w:rPr>
        <w:t>2026</w:t>
      </w:r>
      <w:r>
        <w:rPr>
          <w:sz w:val="24"/>
        </w:rPr>
        <w:t>年</w:t>
      </w:r>
      <w:r>
        <w:rPr>
          <w:sz w:val="24"/>
        </w:rPr>
        <w:t>10</w:t>
      </w:r>
      <w:r>
        <w:rPr>
          <w:sz w:val="24"/>
        </w:rPr>
        <w:t>月</w:t>
      </w:r>
      <w:r>
        <w:rPr>
          <w:sz w:val="24"/>
        </w:rPr>
        <w:t>1</w:t>
      </w:r>
      <w:r>
        <w:rPr>
          <w:sz w:val="24"/>
        </w:rPr>
        <w:t>日零时起至</w:t>
      </w:r>
      <w:r>
        <w:rPr>
          <w:sz w:val="24"/>
        </w:rPr>
        <w:t>2027</w:t>
      </w:r>
      <w:r>
        <w:rPr>
          <w:sz w:val="24"/>
        </w:rPr>
        <w:t>年</w:t>
      </w:r>
      <w:r>
        <w:rPr>
          <w:sz w:val="24"/>
        </w:rPr>
        <w:t>9</w:t>
      </w:r>
      <w:r>
        <w:rPr>
          <w:sz w:val="24"/>
        </w:rPr>
        <w:t>月</w:t>
      </w:r>
      <w:r>
        <w:rPr>
          <w:sz w:val="24"/>
        </w:rPr>
        <w:t>30</w:t>
      </w:r>
      <w:r>
        <w:rPr>
          <w:sz w:val="24"/>
        </w:rPr>
        <w:t>日二十四时止</w:t>
      </w:r>
      <w:r>
        <w:rPr>
          <w:sz w:val="24"/>
        </w:rPr>
        <w:t>）。</w:t>
      </w:r>
    </w:p>
    <w:p>
      <w:pPr>
        <w:pStyle w:val="null3"/>
        <w:ind w:firstLine="482"/>
        <w:jc w:val="both"/>
      </w:pPr>
      <w:r>
        <w:rPr>
          <w:sz w:val="24"/>
          <w:b/>
        </w:rPr>
        <w:t>第五条</w:t>
      </w:r>
      <w:r>
        <w:rPr>
          <w:b/>
        </w:rPr>
        <w:t xml:space="preserve"> </w:t>
      </w:r>
      <w:r>
        <w:rPr>
          <w:sz w:val="24"/>
          <w:b/>
        </w:rPr>
        <w:t>付款方式</w:t>
      </w:r>
    </w:p>
    <w:p>
      <w:pPr>
        <w:pStyle w:val="null3"/>
        <w:ind w:firstLine="480"/>
        <w:jc w:val="both"/>
      </w:pPr>
      <w:r>
        <w:rPr>
          <w:sz w:val="24"/>
        </w:rPr>
        <w:t>合同签订后，乙方向甲方出具投保单以及与保单等额的正规发票，甲方核准无误后，向乙方全额支付保费。上述款项支付时间以财政资金到位情况为准，乙方不得以此为由停止服务或视为甲方逾期付款。</w:t>
      </w:r>
    </w:p>
    <w:p>
      <w:pPr>
        <w:pStyle w:val="null3"/>
        <w:ind w:firstLine="482"/>
        <w:jc w:val="both"/>
      </w:pPr>
      <w:r>
        <w:rPr>
          <w:sz w:val="24"/>
          <w:b/>
        </w:rPr>
        <w:t>第六条</w:t>
      </w:r>
      <w:r>
        <w:rPr>
          <w:b/>
        </w:rPr>
        <w:t xml:space="preserve"> </w:t>
      </w:r>
      <w:r>
        <w:rPr>
          <w:sz w:val="24"/>
          <w:b/>
        </w:rPr>
        <w:t>违约责任</w:t>
      </w:r>
    </w:p>
    <w:p>
      <w:pPr>
        <w:pStyle w:val="null3"/>
        <w:ind w:firstLine="480"/>
        <w:jc w:val="both"/>
      </w:pPr>
      <w:r>
        <w:rPr>
          <w:sz w:val="24"/>
        </w:rPr>
        <w:t>1.</w:t>
      </w:r>
      <w:r>
        <w:rPr>
          <w:sz w:val="24"/>
        </w:rPr>
        <w:t>乙方应在收</w:t>
      </w:r>
      <w:r>
        <w:rPr>
          <w:sz w:val="24"/>
        </w:rPr>
        <w:t>到保险费后的</w:t>
      </w:r>
      <w:r>
        <w:rPr>
          <w:sz w:val="24"/>
        </w:rPr>
        <w:t>约定时间内签发保险单证，否则从逾期之日起每日按本合同总价</w:t>
      </w:r>
      <w:r>
        <w:rPr>
          <w:sz w:val="24"/>
        </w:rPr>
        <w:t>3</w:t>
      </w:r>
      <w:r>
        <w:rPr>
          <w:sz w:val="24"/>
        </w:rPr>
        <w:t>‰的数额向甲方支付违约金；逾期半个月以上的，甲方有权终止合同，并赔偿甲方因此造成的损失。</w:t>
      </w:r>
    </w:p>
    <w:p>
      <w:pPr>
        <w:pStyle w:val="null3"/>
        <w:ind w:firstLine="480"/>
        <w:jc w:val="both"/>
      </w:pPr>
      <w:r>
        <w:rPr>
          <w:sz w:val="24"/>
        </w:rPr>
        <w:t>2.</w:t>
      </w:r>
      <w:r>
        <w:rPr>
          <w:sz w:val="24"/>
        </w:rPr>
        <w:t>对于符合承保条件的申请，乙方无故拒绝承保或拖延承保时间，需向甲方支付违约金并承担由此引发的法律责任。</w:t>
      </w:r>
    </w:p>
    <w:p>
      <w:pPr>
        <w:pStyle w:val="null3"/>
        <w:ind w:firstLine="480"/>
        <w:jc w:val="both"/>
      </w:pPr>
      <w:r>
        <w:rPr>
          <w:sz w:val="24"/>
        </w:rPr>
        <w:t>3.</w:t>
      </w:r>
      <w:r>
        <w:rPr>
          <w:sz w:val="24"/>
        </w:rPr>
        <w:t>如果保险公司未能按照合同约定提供保险服务，如未能及时支付保险金等，保险公司应承担相应的赔偿责任。发生保险事故后，乙方未按照合同约定的时限进行理赔审核和赔付，需支付逾期理赔的滞纳金，并赔偿甲方因此遭受的损失。</w:t>
      </w:r>
    </w:p>
    <w:p>
      <w:pPr>
        <w:pStyle w:val="null3"/>
        <w:ind w:firstLine="480"/>
        <w:jc w:val="both"/>
      </w:pPr>
      <w:r>
        <w:rPr>
          <w:sz w:val="24"/>
        </w:rPr>
        <w:t>4.</w:t>
      </w:r>
      <w:r>
        <w:rPr>
          <w:sz w:val="24"/>
        </w:rPr>
        <w:t>乙方泄露甲方或被保险人的个人信息和商业秘密，需承担法律责任并赔偿由此造成甲方和被保险人的损失。</w:t>
      </w:r>
    </w:p>
    <w:p>
      <w:pPr>
        <w:pStyle w:val="null3"/>
        <w:ind w:firstLine="480"/>
        <w:jc w:val="both"/>
      </w:pPr>
      <w:r>
        <w:rPr>
          <w:sz w:val="24"/>
        </w:rPr>
        <w:t>5.</w:t>
      </w:r>
      <w:r>
        <w:rPr>
          <w:sz w:val="24"/>
        </w:rPr>
        <w:t>因一方违约行为导致诉讼的，违约方除承担违约责任外，还应负担对方因提起诉讼而发生的诉讼费、保全费、保全担保费、律师费等合理开支。</w:t>
      </w:r>
    </w:p>
    <w:p>
      <w:pPr>
        <w:pStyle w:val="null3"/>
        <w:ind w:firstLine="480"/>
        <w:jc w:val="both"/>
      </w:pPr>
      <w:r>
        <w:rPr>
          <w:sz w:val="24"/>
        </w:rPr>
        <w:t>6.</w:t>
      </w:r>
      <w:r>
        <w:rPr>
          <w:sz w:val="24"/>
        </w:rPr>
        <w:t>其它违约责任按《中华人民共和国民法典》处理。</w:t>
      </w:r>
    </w:p>
    <w:p>
      <w:pPr>
        <w:pStyle w:val="null3"/>
        <w:ind w:firstLine="482"/>
        <w:jc w:val="both"/>
      </w:pPr>
      <w:r>
        <w:rPr>
          <w:sz w:val="24"/>
          <w:b/>
        </w:rPr>
        <w:t>第七条</w:t>
      </w:r>
      <w:r>
        <w:rPr>
          <w:b/>
        </w:rPr>
        <w:t xml:space="preserve"> </w:t>
      </w:r>
      <w:r>
        <w:rPr>
          <w:sz w:val="24"/>
          <w:b/>
        </w:rPr>
        <w:t>免责条款</w:t>
      </w:r>
    </w:p>
    <w:p>
      <w:pPr>
        <w:pStyle w:val="null3"/>
        <w:ind w:firstLine="480"/>
        <w:jc w:val="both"/>
      </w:pPr>
      <w:r>
        <w:rPr>
          <w:sz w:val="24"/>
        </w:rPr>
        <w:t>1</w:t>
      </w:r>
      <w:r>
        <w:rPr>
          <w:sz w:val="24"/>
        </w:rPr>
        <w:t>、因下列情形之一，导致被保险人身故或伤残的，乙方无需承担给付意外身故保险金或意外伤残保险金的责任：</w:t>
      </w:r>
    </w:p>
    <w:p>
      <w:pPr>
        <w:pStyle w:val="null3"/>
        <w:ind w:firstLine="480"/>
        <w:jc w:val="both"/>
      </w:pPr>
      <w:r>
        <w:rPr>
          <w:sz w:val="24"/>
        </w:rPr>
        <w:t>（</w:t>
      </w:r>
      <w:r>
        <w:rPr>
          <w:sz w:val="24"/>
        </w:rPr>
        <w:t>1</w:t>
      </w:r>
      <w:r>
        <w:rPr>
          <w:sz w:val="24"/>
        </w:rPr>
        <w:t>）被保险人猝死；</w:t>
      </w:r>
    </w:p>
    <w:p>
      <w:pPr>
        <w:pStyle w:val="null3"/>
        <w:ind w:firstLine="480"/>
        <w:jc w:val="both"/>
      </w:pPr>
      <w:r>
        <w:rPr>
          <w:sz w:val="24"/>
        </w:rPr>
        <w:t>（</w:t>
      </w:r>
      <w:r>
        <w:rPr>
          <w:sz w:val="24"/>
        </w:rPr>
        <w:t>2</w:t>
      </w:r>
      <w:r>
        <w:rPr>
          <w:sz w:val="24"/>
        </w:rPr>
        <w:t>）被保险人故意犯罪或抗拒依法采取的刑事强制措施；</w:t>
      </w:r>
    </w:p>
    <w:p>
      <w:pPr>
        <w:pStyle w:val="null3"/>
        <w:ind w:firstLine="480"/>
        <w:jc w:val="both"/>
      </w:pPr>
      <w:r>
        <w:rPr>
          <w:sz w:val="24"/>
        </w:rPr>
        <w:t>（</w:t>
      </w:r>
      <w:r>
        <w:rPr>
          <w:sz w:val="24"/>
        </w:rPr>
        <w:t>3</w:t>
      </w:r>
      <w:r>
        <w:rPr>
          <w:sz w:val="24"/>
        </w:rPr>
        <w:t>）被保险人自杀或故意自伤，但被保险人自杀或故意自伤时为无民事行为能力人的除外；</w:t>
      </w:r>
    </w:p>
    <w:p>
      <w:pPr>
        <w:pStyle w:val="null3"/>
        <w:ind w:firstLine="480"/>
        <w:jc w:val="both"/>
      </w:pPr>
      <w:r>
        <w:rPr>
          <w:sz w:val="24"/>
        </w:rPr>
        <w:t>（</w:t>
      </w:r>
      <w:r>
        <w:rPr>
          <w:sz w:val="24"/>
        </w:rPr>
        <w:t>4</w:t>
      </w:r>
      <w:r>
        <w:rPr>
          <w:sz w:val="24"/>
        </w:rPr>
        <w:t>）被保险人斗殴、醉酒，服用、吸食或注射毒品；</w:t>
      </w:r>
    </w:p>
    <w:p>
      <w:pPr>
        <w:pStyle w:val="null3"/>
        <w:ind w:firstLine="480"/>
        <w:jc w:val="both"/>
      </w:pPr>
      <w:r>
        <w:rPr>
          <w:sz w:val="24"/>
        </w:rPr>
        <w:t>（</w:t>
      </w:r>
      <w:r>
        <w:rPr>
          <w:sz w:val="24"/>
        </w:rPr>
        <w:t>5</w:t>
      </w:r>
      <w:r>
        <w:rPr>
          <w:sz w:val="24"/>
        </w:rPr>
        <w:t>）被保险人酒后驾驶、无合法有效驾驶证驾驶，或驾驶无合法有效行驶证的机动车；</w:t>
      </w:r>
    </w:p>
    <w:p>
      <w:pPr>
        <w:pStyle w:val="null3"/>
        <w:ind w:firstLine="480"/>
        <w:jc w:val="both"/>
      </w:pPr>
      <w:r>
        <w:rPr>
          <w:sz w:val="24"/>
        </w:rPr>
        <w:t>（</w:t>
      </w:r>
      <w:r>
        <w:rPr>
          <w:sz w:val="24"/>
        </w:rPr>
        <w:t>6</w:t>
      </w:r>
      <w:r>
        <w:rPr>
          <w:sz w:val="24"/>
        </w:rPr>
        <w:t>）被保险人未遵医嘱，私自使用或服用药物，但按使用说明的规定使用非处方药不在此限；</w:t>
      </w:r>
    </w:p>
    <w:p>
      <w:pPr>
        <w:pStyle w:val="null3"/>
        <w:ind w:firstLine="480"/>
        <w:jc w:val="both"/>
      </w:pPr>
      <w:r>
        <w:rPr>
          <w:sz w:val="24"/>
        </w:rPr>
        <w:t>（</w:t>
      </w:r>
      <w:r>
        <w:rPr>
          <w:sz w:val="24"/>
        </w:rPr>
        <w:t>7</w:t>
      </w:r>
      <w:r>
        <w:rPr>
          <w:sz w:val="24"/>
        </w:rPr>
        <w:t>）被保险人参加潜水、跳伞、攀岩、驾乘滑翔机或滑翔伞、探险、摔跤、武术比赛、特技表演、赛马、赛车等高风险运动；</w:t>
      </w:r>
    </w:p>
    <w:p>
      <w:pPr>
        <w:pStyle w:val="null3"/>
        <w:ind w:firstLine="480"/>
        <w:jc w:val="both"/>
      </w:pPr>
      <w:r>
        <w:rPr>
          <w:sz w:val="24"/>
        </w:rPr>
        <w:t>（</w:t>
      </w:r>
      <w:r>
        <w:rPr>
          <w:sz w:val="24"/>
        </w:rPr>
        <w:t>8</w:t>
      </w:r>
      <w:r>
        <w:rPr>
          <w:sz w:val="24"/>
        </w:rPr>
        <w:t>）被保险人的产前产后检查、妊娠（含宫外孕）、流产（含人工流产）、分挽（含剖腹产）、避孕、绝育手术、治疗不孕不育症以及上述原因引起的并发症；</w:t>
      </w:r>
    </w:p>
    <w:p>
      <w:pPr>
        <w:pStyle w:val="null3"/>
        <w:ind w:firstLine="480"/>
        <w:jc w:val="both"/>
      </w:pPr>
      <w:r>
        <w:rPr>
          <w:sz w:val="24"/>
        </w:rPr>
        <w:t>（</w:t>
      </w:r>
      <w:r>
        <w:rPr>
          <w:sz w:val="24"/>
        </w:rPr>
        <w:t>9</w:t>
      </w:r>
      <w:r>
        <w:rPr>
          <w:sz w:val="24"/>
        </w:rPr>
        <w:t>）被保险人的精神和行为障碍；</w:t>
      </w:r>
    </w:p>
    <w:p>
      <w:pPr>
        <w:pStyle w:val="null3"/>
        <w:ind w:firstLine="480"/>
        <w:jc w:val="both"/>
      </w:pPr>
      <w:r>
        <w:rPr>
          <w:sz w:val="24"/>
        </w:rPr>
        <w:t>（</w:t>
      </w:r>
      <w:r>
        <w:rPr>
          <w:sz w:val="24"/>
        </w:rPr>
        <w:t>10</w:t>
      </w:r>
      <w:r>
        <w:rPr>
          <w:sz w:val="24"/>
        </w:rPr>
        <w:t>）战争、军事冲突、暴乱或武装叛乱；</w:t>
      </w:r>
    </w:p>
    <w:p>
      <w:pPr>
        <w:pStyle w:val="null3"/>
        <w:ind w:firstLine="480"/>
        <w:jc w:val="both"/>
      </w:pPr>
      <w:r>
        <w:rPr>
          <w:sz w:val="24"/>
        </w:rPr>
        <w:t>（</w:t>
      </w:r>
      <w:r>
        <w:rPr>
          <w:sz w:val="24"/>
        </w:rPr>
        <w:t>11</w:t>
      </w:r>
      <w:r>
        <w:rPr>
          <w:sz w:val="24"/>
        </w:rPr>
        <w:t>）核燥炸、核辐射或核污染。</w:t>
      </w:r>
    </w:p>
    <w:p>
      <w:pPr>
        <w:pStyle w:val="null3"/>
        <w:ind w:firstLine="480"/>
        <w:jc w:val="both"/>
      </w:pPr>
      <w:r>
        <w:rPr>
          <w:sz w:val="24"/>
        </w:rPr>
        <w:t>2</w:t>
      </w:r>
      <w:r>
        <w:rPr>
          <w:sz w:val="24"/>
        </w:rPr>
        <w:t>、因下列情形之一，导致被保险人住院治疗的，乙方无需承担给付保险金责任：</w:t>
      </w:r>
    </w:p>
    <w:p>
      <w:pPr>
        <w:pStyle w:val="null3"/>
        <w:ind w:firstLine="482"/>
        <w:jc w:val="both"/>
      </w:pPr>
      <w:r>
        <w:rPr>
          <w:sz w:val="24"/>
        </w:rPr>
        <w:t>（</w:t>
      </w:r>
      <w:r>
        <w:rPr>
          <w:sz w:val="24"/>
        </w:rPr>
        <w:t>1</w:t>
      </w:r>
      <w:r>
        <w:rPr>
          <w:sz w:val="24"/>
        </w:rPr>
        <w:t>）被保险人的洗牙、牙齿美白、正畸、烤瓷牙、种植牙或镶牙等牙齿保健和修复。</w:t>
      </w:r>
    </w:p>
    <w:p>
      <w:pPr>
        <w:pStyle w:val="null3"/>
        <w:ind w:firstLine="482"/>
        <w:jc w:val="both"/>
      </w:pPr>
      <w:r>
        <w:rPr>
          <w:sz w:val="24"/>
          <w:b/>
        </w:rPr>
        <w:t>第八条</w:t>
      </w:r>
      <w:r>
        <w:rPr>
          <w:b/>
        </w:rPr>
        <w:t xml:space="preserve"> </w:t>
      </w:r>
      <w:r>
        <w:rPr>
          <w:sz w:val="24"/>
          <w:b/>
        </w:rPr>
        <w:t>不可抗力</w:t>
      </w:r>
    </w:p>
    <w:p>
      <w:pPr>
        <w:pStyle w:val="null3"/>
        <w:ind w:firstLine="480"/>
        <w:jc w:val="both"/>
      </w:pPr>
      <w:r>
        <w:rPr>
          <w:sz w:val="24"/>
        </w:rPr>
        <w:t>1.</w:t>
      </w:r>
      <w:r>
        <w:rPr>
          <w:sz w:val="24"/>
        </w:rPr>
        <w:t>不可抗力事故系指买卖双方在缔结合同时所不能预见的，并且它的发生及其后果是无法避免和无法克服的事故。受阻一方应在不可抗力事故发生后尽快用电报、传真或电传通知对方，并于事故发生后</w:t>
      </w:r>
      <w:r>
        <w:rPr>
          <w:sz w:val="24"/>
        </w:rPr>
        <w:t>14</w:t>
      </w:r>
      <w:r>
        <w:rPr>
          <w:sz w:val="24"/>
        </w:rPr>
        <w:t>天内将有关官方出具的证明文件用特快专递或挂号信寄给对方审阅确认。</w:t>
      </w:r>
    </w:p>
    <w:p>
      <w:pPr>
        <w:pStyle w:val="null3"/>
        <w:ind w:firstLine="480"/>
        <w:jc w:val="both"/>
      </w:pPr>
      <w:r>
        <w:rPr>
          <w:sz w:val="24"/>
        </w:rPr>
        <w:t>2.</w:t>
      </w:r>
      <w:r>
        <w:rPr>
          <w:sz w:val="24"/>
        </w:rPr>
        <w:t>签约双方任一方由于受诸如战争、严重火灾、洪水、台风、地震等不可抗力事故的影响而不能执行合同时，经确认后，允许延期履行、部分履行或不履行合同，并根据情况可部分或全部免予承担违约责任。</w:t>
      </w:r>
    </w:p>
    <w:p>
      <w:pPr>
        <w:pStyle w:val="null3"/>
        <w:ind w:firstLine="482"/>
        <w:jc w:val="both"/>
      </w:pPr>
      <w:r>
        <w:rPr>
          <w:sz w:val="24"/>
          <w:b/>
        </w:rPr>
        <w:t>第九条</w:t>
      </w:r>
      <w:r>
        <w:rPr>
          <w:b/>
        </w:rPr>
        <w:t xml:space="preserve"> </w:t>
      </w:r>
      <w:r>
        <w:rPr>
          <w:sz w:val="24"/>
          <w:b/>
        </w:rPr>
        <w:t>争议的解决</w:t>
      </w:r>
    </w:p>
    <w:p>
      <w:pPr>
        <w:pStyle w:val="null3"/>
        <w:ind w:firstLine="480"/>
        <w:jc w:val="both"/>
      </w:pPr>
      <w:r>
        <w:rPr>
          <w:sz w:val="24"/>
        </w:rPr>
        <w:t>执行本合同发生纠纷，当事人双方应当及时协商解决，协商不成的依法向甲方所在地人民法院提起诉讼方式解决。</w:t>
      </w:r>
    </w:p>
    <w:p>
      <w:pPr>
        <w:pStyle w:val="null3"/>
        <w:ind w:firstLine="482"/>
        <w:jc w:val="both"/>
      </w:pPr>
      <w:r>
        <w:rPr>
          <w:sz w:val="24"/>
          <w:b/>
        </w:rPr>
        <w:t>第十条</w:t>
      </w:r>
      <w:r>
        <w:rPr>
          <w:b/>
        </w:rPr>
        <w:t xml:space="preserve"> </w:t>
      </w:r>
      <w:r>
        <w:rPr>
          <w:sz w:val="24"/>
          <w:b/>
        </w:rPr>
        <w:t>监督和管理</w:t>
      </w:r>
    </w:p>
    <w:p>
      <w:pPr>
        <w:pStyle w:val="null3"/>
        <w:ind w:firstLine="480"/>
        <w:jc w:val="both"/>
      </w:pPr>
      <w:r>
        <w:rPr>
          <w:sz w:val="24"/>
        </w:rPr>
        <w:t>甲方的监管部门对本合同具有监督管理权限，甲乙双方均应自觉配合其对合同履行情况的监督检查，如实反映情况，提供有关资料。</w:t>
      </w:r>
    </w:p>
    <w:p>
      <w:pPr>
        <w:pStyle w:val="null3"/>
        <w:ind w:firstLine="482"/>
        <w:jc w:val="both"/>
      </w:pPr>
      <w:r>
        <w:rPr>
          <w:sz w:val="24"/>
          <w:b/>
        </w:rPr>
        <w:t>第十一条</w:t>
      </w:r>
      <w:r>
        <w:rPr>
          <w:b/>
        </w:rPr>
        <w:t xml:space="preserve"> </w:t>
      </w:r>
      <w:r>
        <w:rPr>
          <w:sz w:val="24"/>
          <w:b/>
        </w:rPr>
        <w:t>无效合同</w:t>
      </w:r>
    </w:p>
    <w:p>
      <w:pPr>
        <w:pStyle w:val="null3"/>
        <w:ind w:firstLine="480"/>
        <w:jc w:val="both"/>
      </w:pPr>
      <w:r>
        <w:rPr>
          <w:sz w:val="24"/>
        </w:rPr>
        <w:t>甲乙双方如因违反国家法律、法规和有关政府采购规定，被政府采购监管部门给予宣告合同无效的处罚，责任由过错方承担。</w:t>
      </w:r>
    </w:p>
    <w:p>
      <w:pPr>
        <w:pStyle w:val="null3"/>
        <w:ind w:firstLine="482"/>
        <w:jc w:val="both"/>
      </w:pPr>
      <w:r>
        <w:rPr>
          <w:sz w:val="24"/>
          <w:b/>
        </w:rPr>
        <w:t>第十二条</w:t>
      </w:r>
      <w:r>
        <w:rPr>
          <w:b/>
        </w:rPr>
        <w:t xml:space="preserve"> </w:t>
      </w:r>
      <w:r>
        <w:rPr>
          <w:sz w:val="24"/>
          <w:b/>
        </w:rPr>
        <w:t>附则</w:t>
      </w:r>
    </w:p>
    <w:p>
      <w:pPr>
        <w:pStyle w:val="null3"/>
        <w:ind w:firstLine="480"/>
        <w:jc w:val="both"/>
      </w:pPr>
      <w:r>
        <w:rPr>
          <w:sz w:val="24"/>
        </w:rPr>
        <w:t>1.</w:t>
      </w:r>
      <w:r>
        <w:rPr>
          <w:sz w:val="24"/>
        </w:rPr>
        <w:t>在合作的过程中，甲、乙双方如存在未尽事宜应协商解决，可另行签订补充协议，补充协议与本协议具有同等法律效力。</w:t>
      </w:r>
    </w:p>
    <w:p>
      <w:pPr>
        <w:pStyle w:val="null3"/>
        <w:ind w:firstLine="480"/>
        <w:jc w:val="both"/>
      </w:pPr>
      <w:r>
        <w:rPr>
          <w:sz w:val="24"/>
        </w:rPr>
        <w:t>2.</w:t>
      </w:r>
      <w:r>
        <w:rPr>
          <w:sz w:val="24"/>
        </w:rPr>
        <w:t>本合同经甲乙双方法定代表人或授权代表签字（盖章）并加盖公章或合同专用章后生效，本合</w:t>
      </w:r>
      <w:r>
        <w:rPr/>
        <w:t xml:space="preserve"> </w:t>
      </w:r>
      <w:r>
        <w:rPr>
          <w:sz w:val="24"/>
        </w:rPr>
        <w:t>同正本一式</w:t>
      </w:r>
      <w:r>
        <w:rPr>
          <w:u w:val="single"/>
        </w:rPr>
        <w:t xml:space="preserve">    </w:t>
      </w:r>
      <w:r>
        <w:rPr>
          <w:sz w:val="24"/>
        </w:rPr>
        <w:t>份，</w:t>
      </w:r>
      <w:r>
        <w:rPr/>
        <w:t xml:space="preserve"> </w:t>
      </w:r>
      <w:r>
        <w:rPr>
          <w:sz w:val="24"/>
        </w:rPr>
        <w:t>甲方</w:t>
      </w:r>
      <w:r>
        <w:rPr>
          <w:u w:val="single"/>
        </w:rPr>
        <w:t xml:space="preserve">    </w:t>
      </w:r>
      <w:r>
        <w:rPr>
          <w:sz w:val="24"/>
        </w:rPr>
        <w:t>份，乙方</w:t>
      </w:r>
      <w:r>
        <w:rPr>
          <w:u w:val="single"/>
        </w:rPr>
        <w:t xml:space="preserve">    </w:t>
      </w:r>
      <w:r>
        <w:rPr>
          <w:sz w:val="24"/>
        </w:rPr>
        <w:t>份，代理机构</w:t>
      </w:r>
      <w:r>
        <w:rPr>
          <w:sz w:val="24"/>
          <w:u w:val="single"/>
        </w:rPr>
        <w:t>一</w:t>
      </w:r>
      <w:r>
        <w:rPr>
          <w:sz w:val="24"/>
        </w:rPr>
        <w:t>份。</w:t>
      </w:r>
    </w:p>
    <w:p>
      <w:pPr>
        <w:pStyle w:val="null3"/>
        <w:ind w:firstLine="480"/>
        <w:jc w:val="both"/>
      </w:pPr>
      <w:r>
        <w:rPr>
          <w:sz w:val="24"/>
        </w:rPr>
        <w:t>3.</w:t>
      </w:r>
      <w:r>
        <w:rPr>
          <w:sz w:val="24"/>
        </w:rPr>
        <w:t>合同未尽事宜，按照招标文件要求执行。</w:t>
      </w:r>
    </w:p>
    <w:tbl>
      <w:tblPr>
        <w:tblW w:w="0" w:type="auto"/>
        <w:tblInd w:type="dxa" w:w="330"/>
        <w:tblBorders>
          <w:top w:val="none" w:color="000000" w:sz="4"/>
          <w:left w:val="none" w:color="000000" w:sz="4"/>
          <w:bottom w:val="none" w:color="000000" w:sz="4"/>
          <w:right w:val="none" w:color="000000" w:sz="4"/>
          <w:insideH w:val="none"/>
          <w:insideV w:val="none"/>
        </w:tblBorders>
      </w:tblPr>
      <w:tblGrid>
        <w:gridCol w:w="3860"/>
        <w:gridCol w:w="4446"/>
      </w:tblGrid>
      <w:tr>
        <w:tc>
          <w:tcPr>
            <w:tcW w:type="dxa" w:w="386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80"/>
              <w:jc w:val="both"/>
            </w:pPr>
            <w:r>
              <w:rPr>
                <w:sz w:val="24"/>
              </w:rPr>
              <w:t>甲方（盖章）：</w:t>
            </w:r>
          </w:p>
          <w:p>
            <w:pPr>
              <w:pStyle w:val="null3"/>
              <w:ind w:firstLine="480"/>
              <w:jc w:val="both"/>
            </w:pPr>
            <w:r>
              <w:rPr>
                <w:sz w:val="24"/>
              </w:rPr>
              <w:t>法定代表人</w:t>
            </w:r>
            <w:r>
              <w:rPr>
                <w:sz w:val="24"/>
              </w:rPr>
              <w:t>/</w:t>
            </w:r>
            <w:r>
              <w:rPr>
                <w:sz w:val="24"/>
              </w:rPr>
              <w:t>授权代表：</w:t>
            </w:r>
          </w:p>
          <w:p>
            <w:pPr>
              <w:pStyle w:val="null3"/>
              <w:ind w:firstLine="480"/>
              <w:jc w:val="both"/>
            </w:pPr>
            <w:r>
              <w:rPr>
                <w:sz w:val="24"/>
              </w:rPr>
              <w:t>详细地址：</w:t>
            </w:r>
          </w:p>
          <w:p>
            <w:pPr>
              <w:pStyle w:val="null3"/>
              <w:ind w:firstLine="480"/>
              <w:jc w:val="both"/>
            </w:pPr>
            <w:r>
              <w:rPr>
                <w:sz w:val="24"/>
              </w:rPr>
              <w:t>联系电话：</w:t>
            </w:r>
          </w:p>
        </w:tc>
        <w:tc>
          <w:tcPr>
            <w:tcW w:type="dxa" w:w="444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480"/>
              <w:jc w:val="both"/>
            </w:pPr>
            <w:r>
              <w:rPr>
                <w:sz w:val="24"/>
              </w:rPr>
              <w:t>乙方（盖章）：</w:t>
            </w:r>
          </w:p>
          <w:p>
            <w:pPr>
              <w:pStyle w:val="null3"/>
              <w:ind w:firstLine="480"/>
              <w:jc w:val="both"/>
            </w:pPr>
            <w:r>
              <w:rPr>
                <w:sz w:val="24"/>
              </w:rPr>
              <w:t>法定代表人</w:t>
            </w:r>
            <w:r>
              <w:rPr>
                <w:sz w:val="24"/>
              </w:rPr>
              <w:t>/</w:t>
            </w:r>
            <w:r>
              <w:rPr>
                <w:sz w:val="24"/>
              </w:rPr>
              <w:t>授权代表：</w:t>
            </w:r>
          </w:p>
          <w:p>
            <w:pPr>
              <w:pStyle w:val="null3"/>
              <w:ind w:firstLine="480"/>
              <w:jc w:val="both"/>
            </w:pPr>
            <w:r>
              <w:rPr>
                <w:sz w:val="24"/>
              </w:rPr>
              <w:t>详细地址：</w:t>
            </w:r>
          </w:p>
          <w:p>
            <w:pPr>
              <w:pStyle w:val="null3"/>
              <w:ind w:firstLine="480"/>
              <w:jc w:val="both"/>
            </w:pPr>
            <w:r>
              <w:rPr>
                <w:sz w:val="24"/>
              </w:rPr>
              <w:t>联系电话：</w:t>
            </w:r>
          </w:p>
          <w:p>
            <w:pPr>
              <w:pStyle w:val="null3"/>
              <w:ind w:firstLine="480"/>
              <w:jc w:val="both"/>
            </w:pPr>
            <w:r>
              <w:rPr>
                <w:sz w:val="24"/>
              </w:rPr>
              <w:t>开户银行：</w:t>
            </w:r>
          </w:p>
          <w:p>
            <w:pPr>
              <w:pStyle w:val="null3"/>
              <w:ind w:firstLine="480"/>
              <w:jc w:val="both"/>
            </w:pPr>
            <w:r>
              <w:rPr>
                <w:sz w:val="24"/>
              </w:rPr>
              <w:t>帐号：</w:t>
            </w:r>
          </w:p>
        </w:tc>
      </w:tr>
      <w:tr>
        <w:tc>
          <w:tcPr>
            <w:tcW w:type="dxa" w:w="8306"/>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80"/>
              <w:jc w:val="both"/>
            </w:pPr>
            <w:r>
              <w:rPr>
                <w:sz w:val="24"/>
              </w:rPr>
              <w:t>签约地：</w:t>
            </w:r>
          </w:p>
          <w:p>
            <w:pPr>
              <w:pStyle w:val="null3"/>
              <w:ind w:firstLine="480"/>
              <w:jc w:val="both"/>
            </w:pPr>
            <w:r>
              <w:rPr>
                <w:sz w:val="24"/>
              </w:rPr>
              <w:t>签订日期：</w:t>
            </w:r>
            <w:r>
              <w:rPr>
                <w:sz w:val="19"/>
              </w:rPr>
              <w:t xml:space="preserve">   </w:t>
            </w:r>
            <w:r>
              <w:rPr>
                <w:sz w:val="24"/>
              </w:rPr>
              <w:t>年</w:t>
            </w:r>
            <w:r>
              <w:rPr>
                <w:sz w:val="19"/>
              </w:rPr>
              <w:t xml:space="preserve">   </w:t>
            </w:r>
            <w:r>
              <w:rPr>
                <w:sz w:val="24"/>
              </w:rPr>
              <w:t>月</w:t>
            </w:r>
            <w:r>
              <w:rPr>
                <w:sz w:val="19"/>
              </w:rPr>
              <w:t xml:space="preserve">   </w:t>
            </w:r>
            <w:r>
              <w:rPr>
                <w:sz w:val="24"/>
              </w:rPr>
              <w:t>日</w:t>
            </w:r>
          </w:p>
        </w:tc>
      </w:tr>
    </w:tbl>
    <w:p>
      <w:pPr>
        <w:pStyle w:val="null3"/>
        <w:ind w:firstLine="480"/>
        <w:jc w:val="both"/>
      </w:pPr>
      <w:r>
        <w:rPr>
          <w:sz w:val="24"/>
        </w:rPr>
        <w:t>注：本合同样本仅供参考，具体条款内容由采购人和供应商协商确定，但不得对招标文件的实质性条款作出变更。</w:t>
      </w:r>
    </w:p>
    <w:p>
      <w:pPr>
        <w:pStyle w:val="null3"/>
      </w:pPr>
      <w:r>
        <w:rPr/>
        <w:t xml:space="preserve">  </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440515-2026-01232</w:t>
      </w:r>
    </w:p>
    <w:p>
      <w:pPr>
        <w:pStyle w:val="null3"/>
        <w:jc w:val="center"/>
        <w:outlineLvl w:val="3"/>
      </w:pPr>
      <w:r>
        <w:rPr>
          <w:sz w:val="24"/>
          <w:b/>
        </w:rPr>
        <w:t>采购项目编号：</w:t>
      </w:r>
      <w:r>
        <w:rPr>
          <w:sz w:val="24"/>
          <w:b/>
        </w:rPr>
        <w:t>HSCGZB202510</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广东恒胜建设监理有限公司</w:t>
      </w:r>
    </w:p>
    <w:p>
      <w:pPr>
        <w:pStyle w:val="null3"/>
        <w:ind w:firstLine="480"/>
      </w:pPr>
      <w:r>
        <w:rPr/>
        <w:t xml:space="preserve"> 你方组织的</w:t>
      </w:r>
      <w:r>
        <w:rPr>
          <w:u w:val="single"/>
        </w:rPr>
        <w:t>“</w:t>
      </w:r>
      <w:r>
        <w:rPr>
          <w:u w:val="single"/>
        </w:rPr>
        <w:t>汕头市澄海区老年人意外伤害保险项目</w:t>
      </w:r>
      <w:r>
        <w:rPr>
          <w:u w:val="single"/>
        </w:rPr>
        <w:t>”</w:t>
      </w:r>
      <w:r>
        <w:rPr/>
        <w:t>项目的竞争性磋商[采购项目编号为：</w:t>
      </w:r>
      <w:r>
        <w:rPr>
          <w:u w:val="single"/>
        </w:rPr>
        <w:t>HSCGZB202510</w:t>
      </w:r>
      <w:r>
        <w:rPr/>
        <w:t>]，我方愿参与响应。</w:t>
      </w:r>
    </w:p>
    <w:p>
      <w:pPr>
        <w:pStyle w:val="null3"/>
        <w:ind w:firstLine="480"/>
      </w:pPr>
      <w:r>
        <w:rPr/>
        <w:t>我方确认收到贵方提供的</w:t>
      </w:r>
      <w:r>
        <w:rPr>
          <w:u w:val="single"/>
        </w:rPr>
        <w:t>“</w:t>
      </w:r>
      <w:r>
        <w:rPr>
          <w:u w:val="single"/>
        </w:rPr>
        <w:t>汕头市澄海区老年人意外伤害保险项目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广东恒胜建设监理有限公司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汕头市澄海区老年人意外伤害保险项目</w:t>
      </w:r>
      <w:r>
        <w:rPr/>
        <w:t>”项目采购[采购项目编号为</w:t>
      </w:r>
      <w:r>
        <w:rPr/>
        <w:t>HSCGZB202510</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汕头市澄海区民政局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广东恒胜建设监理有限公司</w:t>
      </w:r>
    </w:p>
    <w:p>
      <w:pPr>
        <w:pStyle w:val="null3"/>
        <w:ind w:firstLine="480"/>
      </w:pPr>
      <w:r>
        <w:rPr/>
        <w:t>我单位参加贵公司组织的</w:t>
      </w:r>
      <w:r>
        <w:rPr/>
        <w:t>汕头市澄海区老年人意外伤害保险项目</w:t>
      </w:r>
      <w:r>
        <w:rPr/>
        <w:t>（采购项目编号：</w:t>
      </w:r>
      <w:r>
        <w:rPr/>
        <w:t>HSCGZB202510</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广东恒胜建设监理有限公司</w:t>
      </w:r>
    </w:p>
    <w:p>
      <w:pPr>
        <w:pStyle w:val="null3"/>
        <w:ind w:firstLine="480"/>
      </w:pPr>
      <w:r>
        <w:rPr/>
        <w:t>我单位已登记并准备参与“</w:t>
      </w:r>
      <w:r>
        <w:rPr/>
        <w:t>汕头市澄海区老年人意外伤害保险项目</w:t>
      </w:r>
      <w:r>
        <w:rPr/>
        <w:t>”项目（采购项目编号：</w:t>
      </w:r>
      <w:r>
        <w:rPr/>
        <w:t>HSCGZB202510</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